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3CCB" w14:textId="5A69821B" w:rsidR="00DD4640" w:rsidRDefault="00DD4640" w:rsidP="005527F4">
      <w:pPr>
        <w:jc w:val="center"/>
        <w:rPr>
          <w:b/>
          <w:bCs/>
          <w:sz w:val="28"/>
          <w:szCs w:val="28"/>
        </w:rPr>
      </w:pPr>
      <w:r w:rsidRPr="00430057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5AE8D71D" wp14:editId="304F35BF">
            <wp:simplePos x="0" y="0"/>
            <wp:positionH relativeFrom="column">
              <wp:posOffset>3829050</wp:posOffset>
            </wp:positionH>
            <wp:positionV relativeFrom="paragraph">
              <wp:posOffset>0</wp:posOffset>
            </wp:positionV>
            <wp:extent cx="2222500" cy="1174115"/>
            <wp:effectExtent l="0" t="0" r="6350" b="6985"/>
            <wp:wrapSquare wrapText="bothSides"/>
            <wp:docPr id="2" name="Picture 2" descr="A picture containing font, graphics, tex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nt, graphics, text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0A1BC" w14:textId="22B02433" w:rsidR="00D316E3" w:rsidRPr="00601E98" w:rsidRDefault="00A92C0F" w:rsidP="005527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1E98">
        <w:rPr>
          <w:rFonts w:ascii="Arial" w:hAnsi="Arial" w:cs="Arial"/>
          <w:b/>
          <w:bCs/>
          <w:sz w:val="28"/>
          <w:szCs w:val="28"/>
        </w:rPr>
        <w:t>NORTH LANARKSHIRE LICENSING BOARD</w:t>
      </w:r>
    </w:p>
    <w:p w14:paraId="3979A3A8" w14:textId="777E1F11" w:rsidR="00A92C0F" w:rsidRDefault="00A92C0F"/>
    <w:p w14:paraId="5CAC2FFA" w14:textId="77777777" w:rsidR="00DD4640" w:rsidRDefault="00DD4640">
      <w:pPr>
        <w:rPr>
          <w:rFonts w:ascii="Calibri Light" w:hAnsi="Calibri Light" w:cs="Calibri Light"/>
          <w:b/>
          <w:bCs/>
          <w:sz w:val="25"/>
          <w:szCs w:val="25"/>
        </w:rPr>
      </w:pPr>
    </w:p>
    <w:p w14:paraId="0A882F43" w14:textId="54B97830" w:rsidR="00A92C0F" w:rsidRPr="00601E98" w:rsidRDefault="00A92C0F">
      <w:pPr>
        <w:rPr>
          <w:rFonts w:ascii="Arial" w:hAnsi="Arial" w:cs="Arial"/>
          <w:b/>
          <w:bCs/>
          <w:sz w:val="28"/>
          <w:szCs w:val="28"/>
        </w:rPr>
      </w:pPr>
      <w:r w:rsidRPr="00601E98">
        <w:rPr>
          <w:rFonts w:ascii="Arial" w:hAnsi="Arial" w:cs="Arial"/>
          <w:b/>
          <w:bCs/>
          <w:sz w:val="28"/>
          <w:szCs w:val="28"/>
        </w:rPr>
        <w:t>IN</w:t>
      </w:r>
      <w:r w:rsidR="006B09CA" w:rsidRPr="00601E98">
        <w:rPr>
          <w:rFonts w:ascii="Arial" w:hAnsi="Arial" w:cs="Arial"/>
          <w:b/>
          <w:bCs/>
          <w:sz w:val="28"/>
          <w:szCs w:val="28"/>
        </w:rPr>
        <w:t>COME AND EXPENDITURE REPORT 20</w:t>
      </w:r>
      <w:r w:rsidR="001F136B" w:rsidRPr="00601E98">
        <w:rPr>
          <w:rFonts w:ascii="Arial" w:hAnsi="Arial" w:cs="Arial"/>
          <w:b/>
          <w:bCs/>
          <w:sz w:val="28"/>
          <w:szCs w:val="28"/>
        </w:rPr>
        <w:t>2</w:t>
      </w:r>
      <w:r w:rsidR="00D511E0" w:rsidRPr="00601E98">
        <w:rPr>
          <w:rFonts w:ascii="Arial" w:hAnsi="Arial" w:cs="Arial"/>
          <w:b/>
          <w:bCs/>
          <w:sz w:val="28"/>
          <w:szCs w:val="28"/>
        </w:rPr>
        <w:t>2</w:t>
      </w:r>
      <w:r w:rsidR="006B09CA" w:rsidRPr="00601E98">
        <w:rPr>
          <w:rFonts w:ascii="Arial" w:hAnsi="Arial" w:cs="Arial"/>
          <w:b/>
          <w:bCs/>
          <w:sz w:val="28"/>
          <w:szCs w:val="28"/>
        </w:rPr>
        <w:t>/202</w:t>
      </w:r>
      <w:r w:rsidR="00D511E0" w:rsidRPr="00601E98">
        <w:rPr>
          <w:rFonts w:ascii="Arial" w:hAnsi="Arial" w:cs="Arial"/>
          <w:b/>
          <w:bCs/>
          <w:sz w:val="28"/>
          <w:szCs w:val="28"/>
        </w:rPr>
        <w:t>3</w:t>
      </w:r>
    </w:p>
    <w:p w14:paraId="5F456954" w14:textId="77777777" w:rsidR="00186A59" w:rsidRPr="00601E98" w:rsidRDefault="00186A59" w:rsidP="007051CE">
      <w:pPr>
        <w:spacing w:after="0" w:line="240" w:lineRule="auto"/>
        <w:rPr>
          <w:rFonts w:ascii="Arial" w:hAnsi="Arial" w:cs="Arial"/>
        </w:rPr>
      </w:pPr>
    </w:p>
    <w:p w14:paraId="35391B49" w14:textId="57309DC1" w:rsidR="00A92C0F" w:rsidRPr="00601E98" w:rsidRDefault="00A92C0F" w:rsidP="00601E9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01E98">
        <w:rPr>
          <w:rFonts w:ascii="Arial" w:hAnsi="Arial" w:cs="Arial"/>
          <w:sz w:val="23"/>
          <w:szCs w:val="23"/>
        </w:rPr>
        <w:t xml:space="preserve">The North Lanarkshire Licensing Board is required under section 9B of the Licensing (Scotland) Act 2005 to publish an annual financial report within </w:t>
      </w:r>
      <w:r w:rsidR="00601E98">
        <w:rPr>
          <w:rFonts w:ascii="Arial" w:hAnsi="Arial" w:cs="Arial"/>
          <w:sz w:val="23"/>
          <w:szCs w:val="23"/>
        </w:rPr>
        <w:t>three</w:t>
      </w:r>
      <w:r w:rsidRPr="00601E98">
        <w:rPr>
          <w:rFonts w:ascii="Arial" w:hAnsi="Arial" w:cs="Arial"/>
          <w:sz w:val="23"/>
          <w:szCs w:val="23"/>
        </w:rPr>
        <w:t xml:space="preserve"> months of the end of the relevant financial year.</w:t>
      </w:r>
    </w:p>
    <w:p w14:paraId="6AD8916A" w14:textId="77777777" w:rsidR="00A92C0F" w:rsidRPr="00601E98" w:rsidRDefault="00A92C0F" w:rsidP="00601E9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14F7DCE" w14:textId="43778717" w:rsidR="00A92C0F" w:rsidRPr="00601E98" w:rsidRDefault="00A92C0F" w:rsidP="00601E9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01E98">
        <w:rPr>
          <w:rFonts w:ascii="Arial" w:hAnsi="Arial" w:cs="Arial"/>
          <w:sz w:val="23"/>
          <w:szCs w:val="23"/>
        </w:rPr>
        <w:t>This report has been prepared using finan</w:t>
      </w:r>
      <w:r w:rsidR="006B09CA" w:rsidRPr="00601E98">
        <w:rPr>
          <w:rFonts w:ascii="Arial" w:hAnsi="Arial" w:cs="Arial"/>
          <w:sz w:val="23"/>
          <w:szCs w:val="23"/>
        </w:rPr>
        <w:t>cial data taken on 31 March 202</w:t>
      </w:r>
      <w:r w:rsidR="00D511E0" w:rsidRPr="00601E98">
        <w:rPr>
          <w:rFonts w:ascii="Arial" w:hAnsi="Arial" w:cs="Arial"/>
          <w:sz w:val="23"/>
          <w:szCs w:val="23"/>
        </w:rPr>
        <w:t>3</w:t>
      </w:r>
      <w:r w:rsidRPr="00601E98">
        <w:rPr>
          <w:rFonts w:ascii="Arial" w:hAnsi="Arial" w:cs="Arial"/>
          <w:sz w:val="23"/>
          <w:szCs w:val="23"/>
        </w:rPr>
        <w:t xml:space="preserve">.  </w:t>
      </w:r>
    </w:p>
    <w:p w14:paraId="319A09B3" w14:textId="77777777" w:rsidR="00A92C0F" w:rsidRPr="00601E98" w:rsidRDefault="00A92C0F" w:rsidP="00601E9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D72E4E6" w14:textId="77777777" w:rsidR="00A92C0F" w:rsidRPr="00601E98" w:rsidRDefault="00A92C0F" w:rsidP="00601E9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01E98">
        <w:rPr>
          <w:rFonts w:ascii="Arial" w:hAnsi="Arial" w:cs="Arial"/>
          <w:sz w:val="23"/>
          <w:szCs w:val="23"/>
        </w:rPr>
        <w:t>The financial statement is as follows:</w:t>
      </w:r>
    </w:p>
    <w:p w14:paraId="02755F59" w14:textId="77777777" w:rsidR="007051CE" w:rsidRPr="00601E98" w:rsidRDefault="007051CE" w:rsidP="007051C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2503"/>
        <w:gridCol w:w="1134"/>
        <w:gridCol w:w="362"/>
        <w:gridCol w:w="4576"/>
        <w:gridCol w:w="1134"/>
      </w:tblGrid>
      <w:tr w:rsidR="007051CE" w:rsidRPr="00601E98" w14:paraId="574A9B8F" w14:textId="013FABBD" w:rsidTr="005527F4">
        <w:tc>
          <w:tcPr>
            <w:tcW w:w="254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2D47107" w14:textId="1801462D" w:rsidR="007051CE" w:rsidRPr="00601E98" w:rsidRDefault="007051CE" w:rsidP="0043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E98">
              <w:rPr>
                <w:rFonts w:ascii="Arial" w:hAnsi="Arial" w:cs="Arial"/>
                <w:sz w:val="24"/>
                <w:szCs w:val="24"/>
              </w:rPr>
              <w:t>Income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00C321" w14:textId="03EDF495" w:rsidR="007051CE" w:rsidRPr="00601E98" w:rsidRDefault="007051CE" w:rsidP="0043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E98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198AFC" w14:textId="77777777" w:rsidR="007051CE" w:rsidRPr="00601E98" w:rsidRDefault="007051CE" w:rsidP="0043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E159056" w14:textId="3F19252F" w:rsidR="007051CE" w:rsidRPr="00601E98" w:rsidRDefault="007051CE" w:rsidP="0043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E98">
              <w:rPr>
                <w:rFonts w:ascii="Arial" w:hAnsi="Arial" w:cs="Arial"/>
                <w:sz w:val="24"/>
                <w:szCs w:val="24"/>
              </w:rPr>
              <w:t>Expenditure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2AC15DB" w14:textId="20C53E83" w:rsidR="007051CE" w:rsidRPr="00601E98" w:rsidRDefault="007051CE" w:rsidP="0043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E98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7051CE" w:rsidRPr="00601E98" w14:paraId="7D1AA281" w14:textId="1ECF1BC6" w:rsidTr="005527F4">
        <w:trPr>
          <w:trHeight w:val="297"/>
        </w:trPr>
        <w:tc>
          <w:tcPr>
            <w:tcW w:w="25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43EB43C" w14:textId="569EA441" w:rsidR="007051CE" w:rsidRPr="00601E98" w:rsidRDefault="007051CE" w:rsidP="007051CE">
            <w:pPr>
              <w:rPr>
                <w:rFonts w:ascii="Arial" w:hAnsi="Arial" w:cs="Arial"/>
              </w:rPr>
            </w:pPr>
            <w:r w:rsidRPr="00601E98">
              <w:rPr>
                <w:rFonts w:ascii="Arial" w:hAnsi="Arial" w:cs="Arial"/>
              </w:rPr>
              <w:t>Income (licensing fees)</w:t>
            </w:r>
            <w:r w:rsidRPr="00601E98">
              <w:rPr>
                <w:rFonts w:ascii="Arial" w:hAnsi="Arial" w:cs="Arial"/>
                <w:sz w:val="18"/>
                <w:szCs w:val="18"/>
              </w:rPr>
              <w:t xml:space="preserve"> (1)</w:t>
            </w:r>
            <w:r w:rsidRPr="00601E98">
              <w:rPr>
                <w:rFonts w:ascii="Arial" w:hAnsi="Arial" w:cs="Arial"/>
              </w:rPr>
              <w:tab/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95423B" w14:textId="415BB555" w:rsidR="007051CE" w:rsidRPr="00601E98" w:rsidRDefault="007051CE" w:rsidP="007051CE">
            <w:pPr>
              <w:rPr>
                <w:rFonts w:ascii="Arial" w:hAnsi="Arial" w:cs="Arial"/>
              </w:rPr>
            </w:pPr>
            <w:r w:rsidRPr="00601E98">
              <w:rPr>
                <w:rFonts w:ascii="Arial" w:hAnsi="Arial" w:cs="Arial"/>
              </w:rPr>
              <w:t>£388,963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62C323" w14:textId="77777777" w:rsidR="007051CE" w:rsidRPr="00601E98" w:rsidRDefault="007051CE" w:rsidP="007051CE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C1819F2" w14:textId="1F8BD67E" w:rsidR="007051CE" w:rsidRPr="00601E98" w:rsidRDefault="007051CE" w:rsidP="007051CE">
            <w:pPr>
              <w:rPr>
                <w:rFonts w:ascii="Arial" w:hAnsi="Arial" w:cs="Arial"/>
              </w:rPr>
            </w:pPr>
            <w:r w:rsidRPr="00601E98">
              <w:rPr>
                <w:rFonts w:ascii="Arial" w:hAnsi="Arial" w:cs="Arial"/>
              </w:rPr>
              <w:t>Staff costs (2)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558CE0D9" w14:textId="77777777" w:rsidR="007051CE" w:rsidRPr="00601E98" w:rsidRDefault="007051CE" w:rsidP="007051CE">
            <w:pPr>
              <w:rPr>
                <w:rFonts w:ascii="Arial" w:hAnsi="Arial" w:cs="Arial"/>
              </w:rPr>
            </w:pPr>
            <w:r w:rsidRPr="00601E98">
              <w:rPr>
                <w:rFonts w:ascii="Arial" w:hAnsi="Arial" w:cs="Arial"/>
              </w:rPr>
              <w:t>£232,167</w:t>
            </w:r>
          </w:p>
          <w:p w14:paraId="0A693629" w14:textId="77777777" w:rsidR="007051CE" w:rsidRPr="00601E98" w:rsidRDefault="007051CE" w:rsidP="007051CE">
            <w:pPr>
              <w:rPr>
                <w:rFonts w:ascii="Arial" w:hAnsi="Arial" w:cs="Arial"/>
              </w:rPr>
            </w:pPr>
          </w:p>
        </w:tc>
      </w:tr>
      <w:tr w:rsidR="007051CE" w:rsidRPr="00601E98" w14:paraId="0E557C1F" w14:textId="014F8912" w:rsidTr="005527F4">
        <w:tc>
          <w:tcPr>
            <w:tcW w:w="25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D91D3D" w14:textId="5F3C5F3C" w:rsidR="007051CE" w:rsidRPr="00601E98" w:rsidRDefault="007051CE" w:rsidP="007051CE">
            <w:pPr>
              <w:rPr>
                <w:rFonts w:ascii="Arial" w:hAnsi="Arial" w:cs="Arial"/>
              </w:rPr>
            </w:pPr>
            <w:r w:rsidRPr="00601E98">
              <w:rPr>
                <w:rFonts w:ascii="Arial" w:hAnsi="Arial" w:cs="Arial"/>
                <w:b/>
              </w:rPr>
              <w:t>Total</w:t>
            </w:r>
            <w:r w:rsidRPr="00601E98">
              <w:rPr>
                <w:rFonts w:ascii="Arial" w:hAnsi="Arial" w:cs="Arial"/>
                <w:b/>
              </w:rPr>
              <w:tab/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434FB5" w14:textId="266F46CA" w:rsidR="007051CE" w:rsidRPr="00601E98" w:rsidRDefault="007051CE" w:rsidP="007051CE">
            <w:pPr>
              <w:rPr>
                <w:rFonts w:ascii="Arial" w:hAnsi="Arial" w:cs="Arial"/>
              </w:rPr>
            </w:pPr>
            <w:r w:rsidRPr="00601E98">
              <w:rPr>
                <w:rFonts w:ascii="Arial" w:hAnsi="Arial" w:cs="Arial"/>
                <w:b/>
              </w:rPr>
              <w:t>£388,963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627C4C" w14:textId="77777777" w:rsidR="007051CE" w:rsidRPr="00601E98" w:rsidRDefault="007051CE" w:rsidP="007051CE">
            <w:pPr>
              <w:rPr>
                <w:rFonts w:ascii="Arial" w:hAnsi="Arial" w:cs="Arial"/>
                <w:b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44303B8" w14:textId="02EAE5A9" w:rsidR="007051CE" w:rsidRPr="00601E98" w:rsidRDefault="007051CE" w:rsidP="007051CE">
            <w:pPr>
              <w:rPr>
                <w:rFonts w:ascii="Arial" w:hAnsi="Arial" w:cs="Arial"/>
                <w:b/>
              </w:rPr>
            </w:pPr>
            <w:r w:rsidRPr="00601E98">
              <w:rPr>
                <w:rFonts w:ascii="Arial" w:hAnsi="Arial" w:cs="Arial"/>
              </w:rPr>
              <w:t>Transport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634A1BEA" w14:textId="125FB9B9" w:rsidR="007051CE" w:rsidRPr="00601E98" w:rsidRDefault="007051CE" w:rsidP="007051CE">
            <w:pPr>
              <w:rPr>
                <w:rFonts w:ascii="Arial" w:hAnsi="Arial" w:cs="Arial"/>
                <w:b/>
              </w:rPr>
            </w:pPr>
            <w:r w:rsidRPr="00601E98">
              <w:rPr>
                <w:rFonts w:ascii="Arial" w:hAnsi="Arial" w:cs="Arial"/>
              </w:rPr>
              <w:t>£48</w:t>
            </w:r>
          </w:p>
        </w:tc>
      </w:tr>
      <w:tr w:rsidR="007051CE" w:rsidRPr="00601E98" w14:paraId="519CA682" w14:textId="77777777" w:rsidTr="005527F4"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B63460" w14:textId="77777777" w:rsidR="007051CE" w:rsidRPr="00601E98" w:rsidRDefault="007051CE" w:rsidP="007051CE">
            <w:pPr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045011" w14:textId="77777777" w:rsidR="007051CE" w:rsidRPr="00601E98" w:rsidRDefault="007051CE" w:rsidP="007051CE">
            <w:pPr>
              <w:rPr>
                <w:rFonts w:ascii="Arial" w:hAnsi="Arial" w:cs="Arial"/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808C7E" w14:textId="77777777" w:rsidR="007051CE" w:rsidRPr="00601E98" w:rsidRDefault="007051CE" w:rsidP="007051CE">
            <w:pPr>
              <w:rPr>
                <w:rFonts w:ascii="Arial" w:hAnsi="Arial" w:cs="Arial"/>
                <w:b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89AA253" w14:textId="46A6FCFA" w:rsidR="007051CE" w:rsidRPr="00601E98" w:rsidRDefault="007051CE" w:rsidP="007051CE">
            <w:pPr>
              <w:rPr>
                <w:rFonts w:ascii="Arial" w:hAnsi="Arial" w:cs="Arial"/>
              </w:rPr>
            </w:pPr>
            <w:r w:rsidRPr="00601E98">
              <w:rPr>
                <w:rFonts w:ascii="Arial" w:hAnsi="Arial" w:cs="Arial"/>
              </w:rPr>
              <w:t>Supplies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3F524137" w14:textId="2A1AEFB0" w:rsidR="007051CE" w:rsidRPr="00601E98" w:rsidRDefault="007051CE" w:rsidP="007051CE">
            <w:pPr>
              <w:rPr>
                <w:rFonts w:ascii="Arial" w:hAnsi="Arial" w:cs="Arial"/>
              </w:rPr>
            </w:pPr>
            <w:r w:rsidRPr="00601E98">
              <w:rPr>
                <w:rFonts w:ascii="Arial" w:hAnsi="Arial" w:cs="Arial"/>
              </w:rPr>
              <w:t>£8,467</w:t>
            </w:r>
            <w:r w:rsidRPr="00601E98">
              <w:rPr>
                <w:rFonts w:ascii="Arial" w:hAnsi="Arial" w:cs="Arial"/>
              </w:rPr>
              <w:tab/>
            </w:r>
          </w:p>
        </w:tc>
      </w:tr>
      <w:tr w:rsidR="007051CE" w:rsidRPr="00601E98" w14:paraId="29ADF0F8" w14:textId="77777777" w:rsidTr="005527F4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C6AF9" w14:textId="77777777" w:rsidR="007051CE" w:rsidRPr="00601E98" w:rsidRDefault="007051CE" w:rsidP="007051CE">
            <w:pPr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09226" w14:textId="77777777" w:rsidR="007051CE" w:rsidRPr="00601E98" w:rsidRDefault="007051CE" w:rsidP="007051CE">
            <w:pPr>
              <w:rPr>
                <w:rFonts w:ascii="Arial" w:hAnsi="Arial" w:cs="Arial"/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337E6A" w14:textId="77777777" w:rsidR="007051CE" w:rsidRPr="00601E98" w:rsidRDefault="007051CE" w:rsidP="007051CE">
            <w:pPr>
              <w:rPr>
                <w:rFonts w:ascii="Arial" w:hAnsi="Arial" w:cs="Arial"/>
                <w:b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B8594B4" w14:textId="2F80568E" w:rsidR="007051CE" w:rsidRPr="00601E98" w:rsidRDefault="007051CE" w:rsidP="007051CE">
            <w:pPr>
              <w:rPr>
                <w:rFonts w:ascii="Arial" w:hAnsi="Arial" w:cs="Arial"/>
              </w:rPr>
            </w:pPr>
            <w:r w:rsidRPr="00601E98">
              <w:rPr>
                <w:rFonts w:ascii="Arial" w:hAnsi="Arial" w:cs="Arial"/>
              </w:rPr>
              <w:t>Overheads (3)</w:t>
            </w:r>
            <w:r w:rsidRPr="00601E98">
              <w:rPr>
                <w:rFonts w:ascii="Arial" w:hAnsi="Arial" w:cs="Arial"/>
              </w:rPr>
              <w:tab/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0EA6A253" w14:textId="674B7592" w:rsidR="007051CE" w:rsidRPr="00601E98" w:rsidRDefault="007051CE" w:rsidP="007051CE">
            <w:pPr>
              <w:rPr>
                <w:rFonts w:ascii="Arial" w:hAnsi="Arial" w:cs="Arial"/>
              </w:rPr>
            </w:pPr>
            <w:r w:rsidRPr="00601E98">
              <w:rPr>
                <w:rFonts w:ascii="Arial" w:hAnsi="Arial" w:cs="Arial"/>
              </w:rPr>
              <w:t>£43,801</w:t>
            </w:r>
          </w:p>
        </w:tc>
      </w:tr>
      <w:tr w:rsidR="007051CE" w:rsidRPr="00601E98" w14:paraId="02C7ABA8" w14:textId="77777777" w:rsidTr="005527F4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04DC2" w14:textId="77777777" w:rsidR="007051CE" w:rsidRPr="00601E98" w:rsidRDefault="007051CE" w:rsidP="007051CE">
            <w:pPr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3F0DB" w14:textId="77777777" w:rsidR="007051CE" w:rsidRPr="00601E98" w:rsidRDefault="007051CE" w:rsidP="007051CE">
            <w:pPr>
              <w:rPr>
                <w:rFonts w:ascii="Arial" w:hAnsi="Arial" w:cs="Arial"/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5BD22E" w14:textId="77777777" w:rsidR="007051CE" w:rsidRPr="00601E98" w:rsidRDefault="007051CE" w:rsidP="007051CE">
            <w:pPr>
              <w:rPr>
                <w:rFonts w:ascii="Arial" w:hAnsi="Arial" w:cs="Arial"/>
                <w:b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D9B19A2" w14:textId="43B6EBF1" w:rsidR="007051CE" w:rsidRPr="00601E98" w:rsidRDefault="007051CE" w:rsidP="007051CE">
            <w:pPr>
              <w:rPr>
                <w:rFonts w:ascii="Arial" w:hAnsi="Arial" w:cs="Arial"/>
              </w:rPr>
            </w:pPr>
            <w:r w:rsidRPr="00601E98">
              <w:rPr>
                <w:rFonts w:ascii="Arial" w:hAnsi="Arial" w:cs="Arial"/>
              </w:rPr>
              <w:t xml:space="preserve">Departmental recharges                                                                       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02333D6A" w14:textId="6C639BD2" w:rsidR="007051CE" w:rsidRPr="00601E98" w:rsidRDefault="007051CE" w:rsidP="007051CE">
            <w:pPr>
              <w:rPr>
                <w:rFonts w:ascii="Arial" w:hAnsi="Arial" w:cs="Arial"/>
              </w:rPr>
            </w:pPr>
            <w:r w:rsidRPr="00601E98">
              <w:rPr>
                <w:rFonts w:ascii="Arial" w:hAnsi="Arial" w:cs="Arial"/>
              </w:rPr>
              <w:t>£105,934</w:t>
            </w:r>
          </w:p>
        </w:tc>
      </w:tr>
      <w:tr w:rsidR="007051CE" w:rsidRPr="00601E98" w14:paraId="111EBECE" w14:textId="77777777" w:rsidTr="005527F4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8FC00" w14:textId="77777777" w:rsidR="007051CE" w:rsidRPr="00601E98" w:rsidRDefault="007051CE" w:rsidP="007051CE">
            <w:pPr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874BF" w14:textId="77777777" w:rsidR="007051CE" w:rsidRPr="00601E98" w:rsidRDefault="007051CE" w:rsidP="007051CE">
            <w:pPr>
              <w:rPr>
                <w:rFonts w:ascii="Arial" w:hAnsi="Arial" w:cs="Arial"/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A3C130" w14:textId="77777777" w:rsidR="007051CE" w:rsidRPr="00601E98" w:rsidRDefault="007051CE" w:rsidP="007051CE">
            <w:pPr>
              <w:rPr>
                <w:rFonts w:ascii="Arial" w:hAnsi="Arial" w:cs="Arial"/>
                <w:b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4374DAA" w14:textId="69D87BC9" w:rsidR="007051CE" w:rsidRPr="00601E98" w:rsidRDefault="007051CE" w:rsidP="007051CE">
            <w:pPr>
              <w:rPr>
                <w:rFonts w:ascii="Arial" w:hAnsi="Arial" w:cs="Arial"/>
              </w:rPr>
            </w:pPr>
            <w:r w:rsidRPr="00601E98">
              <w:rPr>
                <w:rFonts w:ascii="Arial" w:hAnsi="Arial" w:cs="Arial"/>
                <w:b/>
              </w:rPr>
              <w:t>Total</w:t>
            </w:r>
            <w:r w:rsidRPr="00601E98">
              <w:rPr>
                <w:rFonts w:ascii="Arial" w:hAnsi="Arial" w:cs="Arial"/>
                <w:b/>
              </w:rPr>
              <w:tab/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68AB5D14" w14:textId="1B99480B" w:rsidR="007051CE" w:rsidRPr="00601E98" w:rsidRDefault="007051CE" w:rsidP="007051CE">
            <w:pPr>
              <w:rPr>
                <w:rFonts w:ascii="Arial" w:hAnsi="Arial" w:cs="Arial"/>
              </w:rPr>
            </w:pPr>
            <w:r w:rsidRPr="00601E98">
              <w:rPr>
                <w:rFonts w:ascii="Arial" w:hAnsi="Arial" w:cs="Arial"/>
                <w:b/>
              </w:rPr>
              <w:t>£390,418</w:t>
            </w:r>
          </w:p>
        </w:tc>
      </w:tr>
      <w:tr w:rsidR="007051CE" w:rsidRPr="00601E98" w14:paraId="0F83C4B1" w14:textId="77777777" w:rsidTr="005527F4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16A8" w14:textId="77777777" w:rsidR="007051CE" w:rsidRPr="00601E98" w:rsidRDefault="007051CE" w:rsidP="007051CE">
            <w:pPr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F029F" w14:textId="77777777" w:rsidR="007051CE" w:rsidRPr="00601E98" w:rsidRDefault="007051CE" w:rsidP="007051CE">
            <w:pPr>
              <w:rPr>
                <w:rFonts w:ascii="Arial" w:hAnsi="Arial" w:cs="Arial"/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947490" w14:textId="77777777" w:rsidR="007051CE" w:rsidRPr="00601E98" w:rsidRDefault="007051CE" w:rsidP="007051CE">
            <w:pPr>
              <w:rPr>
                <w:rFonts w:ascii="Arial" w:hAnsi="Arial" w:cs="Arial"/>
                <w:b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1489A3E" w14:textId="31862102" w:rsidR="007051CE" w:rsidRPr="00601E98" w:rsidRDefault="007051CE" w:rsidP="007051CE">
            <w:pPr>
              <w:rPr>
                <w:rFonts w:ascii="Arial" w:hAnsi="Arial" w:cs="Arial"/>
                <w:b/>
              </w:rPr>
            </w:pPr>
            <w:r w:rsidRPr="00601E98">
              <w:rPr>
                <w:rFonts w:ascii="Arial" w:hAnsi="Arial" w:cs="Arial"/>
              </w:rPr>
              <w:t>Difference between income and expenditure surplus/deficit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695225DF" w14:textId="744C5CE6" w:rsidR="007051CE" w:rsidRPr="00601E98" w:rsidRDefault="007051CE" w:rsidP="007051CE">
            <w:pPr>
              <w:rPr>
                <w:rFonts w:ascii="Arial" w:hAnsi="Arial" w:cs="Arial"/>
                <w:b/>
              </w:rPr>
            </w:pPr>
            <w:r w:rsidRPr="00601E98">
              <w:rPr>
                <w:rFonts w:ascii="Arial" w:hAnsi="Arial" w:cs="Arial"/>
              </w:rPr>
              <w:t>(-£1,495)</w:t>
            </w:r>
          </w:p>
        </w:tc>
      </w:tr>
    </w:tbl>
    <w:p w14:paraId="6E7114DC" w14:textId="77777777" w:rsidR="00430057" w:rsidRPr="00601E98" w:rsidRDefault="00430057">
      <w:pPr>
        <w:rPr>
          <w:rFonts w:ascii="Arial" w:hAnsi="Arial" w:cs="Arial"/>
        </w:rPr>
      </w:pPr>
    </w:p>
    <w:p w14:paraId="2F641862" w14:textId="77777777" w:rsidR="002800CC" w:rsidRPr="00601E98" w:rsidRDefault="002800CC">
      <w:pPr>
        <w:rPr>
          <w:rFonts w:ascii="Arial" w:hAnsi="Arial" w:cs="Arial"/>
          <w:sz w:val="18"/>
          <w:szCs w:val="18"/>
          <w:u w:val="single"/>
        </w:rPr>
      </w:pPr>
      <w:r w:rsidRPr="00601E98">
        <w:rPr>
          <w:rFonts w:ascii="Arial" w:hAnsi="Arial" w:cs="Arial"/>
          <w:sz w:val="18"/>
          <w:szCs w:val="18"/>
          <w:u w:val="single"/>
        </w:rPr>
        <w:t>Notes:</w:t>
      </w:r>
    </w:p>
    <w:p w14:paraId="2E0844E4" w14:textId="77777777" w:rsidR="002800CC" w:rsidRPr="00601E98" w:rsidRDefault="002800CC" w:rsidP="00601E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01E98">
        <w:rPr>
          <w:rFonts w:ascii="Arial" w:hAnsi="Arial" w:cs="Arial"/>
          <w:sz w:val="18"/>
          <w:szCs w:val="18"/>
        </w:rPr>
        <w:t>Denotes income from applications and annual fees received</w:t>
      </w:r>
      <w:r w:rsidR="00764FD6" w:rsidRPr="00601E98">
        <w:rPr>
          <w:rFonts w:ascii="Arial" w:hAnsi="Arial" w:cs="Arial"/>
          <w:sz w:val="18"/>
          <w:szCs w:val="18"/>
        </w:rPr>
        <w:t xml:space="preserve"> under the Licensing (Scotland) Act 2005</w:t>
      </w:r>
    </w:p>
    <w:p w14:paraId="0E4797C7" w14:textId="6962073A" w:rsidR="00764FD6" w:rsidRPr="00601E98" w:rsidRDefault="00764FD6" w:rsidP="00601E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01E98">
        <w:rPr>
          <w:rFonts w:ascii="Arial" w:hAnsi="Arial" w:cs="Arial"/>
          <w:sz w:val="18"/>
          <w:szCs w:val="18"/>
        </w:rPr>
        <w:t xml:space="preserve">Denotes salary, superannuation, national </w:t>
      </w:r>
      <w:proofErr w:type="gramStart"/>
      <w:r w:rsidRPr="00601E98">
        <w:rPr>
          <w:rFonts w:ascii="Arial" w:hAnsi="Arial" w:cs="Arial"/>
          <w:sz w:val="18"/>
          <w:szCs w:val="18"/>
        </w:rPr>
        <w:t>insurance</w:t>
      </w:r>
      <w:proofErr w:type="gramEnd"/>
      <w:r w:rsidRPr="00601E98">
        <w:rPr>
          <w:rFonts w:ascii="Arial" w:hAnsi="Arial" w:cs="Arial"/>
          <w:sz w:val="18"/>
          <w:szCs w:val="18"/>
        </w:rPr>
        <w:t xml:space="preserve"> and pension costs associated with the Licensing Standards Office</w:t>
      </w:r>
      <w:r w:rsidR="00987DB8" w:rsidRPr="00601E98">
        <w:rPr>
          <w:rFonts w:ascii="Arial" w:hAnsi="Arial" w:cs="Arial"/>
          <w:sz w:val="18"/>
          <w:szCs w:val="18"/>
        </w:rPr>
        <w:t>r</w:t>
      </w:r>
      <w:r w:rsidRPr="00601E98">
        <w:rPr>
          <w:rFonts w:ascii="Arial" w:hAnsi="Arial" w:cs="Arial"/>
          <w:sz w:val="18"/>
          <w:szCs w:val="18"/>
        </w:rPr>
        <w:t xml:space="preserve">s, Clerk and other legal services staff responsible for administration support under paragraph </w:t>
      </w:r>
      <w:r w:rsidR="00634D70">
        <w:rPr>
          <w:rFonts w:ascii="Arial" w:hAnsi="Arial" w:cs="Arial"/>
          <w:sz w:val="18"/>
          <w:szCs w:val="18"/>
        </w:rPr>
        <w:t>eight</w:t>
      </w:r>
      <w:r w:rsidRPr="00601E98">
        <w:rPr>
          <w:rFonts w:ascii="Arial" w:hAnsi="Arial" w:cs="Arial"/>
          <w:sz w:val="18"/>
          <w:szCs w:val="18"/>
        </w:rPr>
        <w:t xml:space="preserve"> of Schedule 1 to the </w:t>
      </w:r>
      <w:r w:rsidR="002107C8" w:rsidRPr="00601E98">
        <w:rPr>
          <w:rFonts w:ascii="Arial" w:hAnsi="Arial" w:cs="Arial"/>
          <w:sz w:val="18"/>
          <w:szCs w:val="18"/>
        </w:rPr>
        <w:t>Licensing (Scotland) Act 2005.</w:t>
      </w:r>
    </w:p>
    <w:p w14:paraId="6B966291" w14:textId="77777777" w:rsidR="002107C8" w:rsidRPr="00601E98" w:rsidRDefault="002107C8" w:rsidP="00601E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01E98">
        <w:rPr>
          <w:rFonts w:ascii="Arial" w:hAnsi="Arial" w:cs="Arial"/>
          <w:sz w:val="18"/>
          <w:szCs w:val="18"/>
        </w:rPr>
        <w:t>Denotes the portion of central administrative costs allocated to the Licensing Board budget.</w:t>
      </w:r>
    </w:p>
    <w:sectPr w:rsidR="002107C8" w:rsidRPr="00601E98" w:rsidSect="00705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7796"/>
    <w:multiLevelType w:val="hybridMultilevel"/>
    <w:tmpl w:val="82A2FAEA"/>
    <w:lvl w:ilvl="0" w:tplc="01789A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8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F"/>
    <w:rsid w:val="000327C2"/>
    <w:rsid w:val="00186A59"/>
    <w:rsid w:val="001D283B"/>
    <w:rsid w:val="001F136B"/>
    <w:rsid w:val="002107C8"/>
    <w:rsid w:val="00276637"/>
    <w:rsid w:val="002800CC"/>
    <w:rsid w:val="00287F6C"/>
    <w:rsid w:val="002D0896"/>
    <w:rsid w:val="002F5B94"/>
    <w:rsid w:val="003076AA"/>
    <w:rsid w:val="003369BC"/>
    <w:rsid w:val="00411E12"/>
    <w:rsid w:val="00430057"/>
    <w:rsid w:val="004711C7"/>
    <w:rsid w:val="005527F4"/>
    <w:rsid w:val="005637D2"/>
    <w:rsid w:val="00601E98"/>
    <w:rsid w:val="00634D70"/>
    <w:rsid w:val="00650E2C"/>
    <w:rsid w:val="006B09CA"/>
    <w:rsid w:val="006E5415"/>
    <w:rsid w:val="007051CE"/>
    <w:rsid w:val="00762134"/>
    <w:rsid w:val="00764FD6"/>
    <w:rsid w:val="007C7E67"/>
    <w:rsid w:val="008359F6"/>
    <w:rsid w:val="009043FF"/>
    <w:rsid w:val="00980F1A"/>
    <w:rsid w:val="00987DB8"/>
    <w:rsid w:val="00A92C0F"/>
    <w:rsid w:val="00B02EF1"/>
    <w:rsid w:val="00B20BA6"/>
    <w:rsid w:val="00C0492E"/>
    <w:rsid w:val="00D316E3"/>
    <w:rsid w:val="00D511E0"/>
    <w:rsid w:val="00D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E614"/>
  <w15:chartTrackingRefBased/>
  <w15:docId w15:val="{CA410F44-4E3E-41F7-9AA4-937422CC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FE9A07376889AC42816B74943442C588" ma:contentTypeVersion="5" ma:contentTypeDescription="" ma:contentTypeScope="" ma:versionID="994c7ae02d462e0d3bd652f8ff23bb8d">
  <xsd:schema xmlns:xsd="http://www.w3.org/2001/XMLSchema" xmlns:xs="http://www.w3.org/2001/XMLSchema" xmlns:p="http://schemas.microsoft.com/office/2006/metadata/properties" xmlns:ns2="8f05d3e4-0582-485c-9ba6-ab26e7804d1a" xmlns:ns3="3173ed6e-0eb2-4790-9f9b-b91e94c1ea48" targetNamespace="http://schemas.microsoft.com/office/2006/metadata/properties" ma:root="true" ma:fieldsID="a5ef7a1995dac05dd47b13fdf4f63015" ns2:_="" ns3:_="">
    <xsd:import namespace="8f05d3e4-0582-485c-9ba6-ab26e7804d1a"/>
    <xsd:import namespace="3173ed6e-0eb2-4790-9f9b-b91e94c1ea48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86a8dfb-61e4-438f-b9da-02614fa26690}" ma:internalName="TaxCatchAll" ma:showField="CatchAllData" ma:web="3173ed6e-0eb2-4790-9f9b-b91e94c1e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6a8dfb-61e4-438f-b9da-02614fa26690}" ma:internalName="TaxCatchAllLabel" ma:readOnly="true" ma:showField="CatchAllDataLabel" ma:web="3173ed6e-0eb2-4790-9f9b-b91e94c1e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2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1;#Legal and Democratic Solutions|bba9588b-fc1d-40f2-bcc6-a668303da4d8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3ed6e-0eb2-4790-9f9b-b91e94c1ea48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5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05d3e4-0582-485c-9ba6-ab26e7804d1a">NLC--510606882-4827</_dlc_DocId>
    <TaxKeywordTaxHTField xmlns="8f05d3e4-0582-485c-9ba6-ab26e7804d1a">
      <Terms xmlns="http://schemas.microsoft.com/office/infopath/2007/PartnerControls"/>
    </TaxKeywordTaxHTFiel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and Democratic Solutions</TermName>
          <TermId xmlns="http://schemas.microsoft.com/office/infopath/2007/PartnerControls">bba9588b-fc1d-40f2-bcc6-a668303da4d8</TermId>
        </TermInfo>
      </Terms>
    </l2266dbc3b614dbe9f077e23aad38986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ActiveRecord xmlns="8f05d3e4-0582-485c-9ba6-ab26e7804d1a">true</ActiveRecord>
    <SupercededDate xmlns="8f05d3e4-0582-485c-9ba6-ab26e7804d1a" xsi:nil="true"/>
    <i0f84bba906045b4af568ee102a52dcb xmlns="3173ed6e-0eb2-4790-9f9b-b91e94c1ea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  <_dlc_DocIdUrl xmlns="8f05d3e4-0582-485c-9ba6-ab26e7804d1a">
      <Url>https://nlcgov.sharepoint.com/sites/LEA-HEADOFLEGALANDDEMOCRATIC/_layouts/15/DocIdRedir.aspx?ID=NLC--510606882-4827</Url>
      <Description>NLC--510606882-4827</Description>
    </_dlc_DocIdUrl>
    <TaxCatchAll xmlns="8f05d3e4-0582-485c-9ba6-ab26e7804d1a">
      <Value>5</Value>
      <Value>2</Value>
      <Value>1</Value>
    </TaxCatchAll>
  </documentManagement>
</p:properties>
</file>

<file path=customXml/itemProps1.xml><?xml version="1.0" encoding="utf-8"?>
<ds:datastoreItem xmlns:ds="http://schemas.openxmlformats.org/officeDocument/2006/customXml" ds:itemID="{747CEC3F-053A-4532-BF16-7A256B7B4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3173ed6e-0eb2-4790-9f9b-b91e94c1e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5B4B4-5160-48B9-9AE2-DEA441A0AED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8DE4DE9-4573-4D0A-802A-D6EB7C172F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46D2A3-0B0E-481C-951F-CBE1E4FFCE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44CB3F-982B-4247-AAD0-761387ED3DCD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3173ed6e-0eb2-4790-9f9b-b91e94c1ea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Worton Jacqueline</dc:creator>
  <cp:keywords/>
  <dc:description/>
  <cp:lastModifiedBy>Lesley Gardiner</cp:lastModifiedBy>
  <cp:revision>2</cp:revision>
  <cp:lastPrinted>2019-06-03T13:31:00Z</cp:lastPrinted>
  <dcterms:created xsi:type="dcterms:W3CDTF">2023-06-21T13:45:00Z</dcterms:created>
  <dcterms:modified xsi:type="dcterms:W3CDTF">2023-06-21T13:45:00Z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2023-06-20T09:37:38Z</vt:lpwstr>
  </property>
  <property fmtid="{D5CDD505-2E9C-101B-9397-08002B2CF9AE}" pid="4" name="MSIP_Label_3c381991-eab8-4fff-8f2f-4f88109aa1cd_Method">
    <vt:lpwstr>Privileged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0a107eee-1a58-4fcc-a796-2dae5982dd46</vt:lpwstr>
  </property>
  <property fmtid="{D5CDD505-2E9C-101B-9397-08002B2CF9AE}" pid="8" name="MSIP_Label_3c381991-eab8-4fff-8f2f-4f88109aa1cd_ContentBits">
    <vt:lpwstr>0</vt:lpwstr>
  </property>
  <property fmtid="{D5CDD505-2E9C-101B-9397-08002B2CF9AE}" pid="9" name="TaxKeyword">
    <vt:lpwstr/>
  </property>
  <property fmtid="{D5CDD505-2E9C-101B-9397-08002B2CF9AE}" pid="10" name="BusinessUnit">
    <vt:lpwstr>1;#Legal and Democratic Solutions|bba9588b-fc1d-40f2-bcc6-a668303da4d8</vt:lpwstr>
  </property>
  <property fmtid="{D5CDD505-2E9C-101B-9397-08002B2CF9AE}" pid="11" name="ContentTypeId">
    <vt:lpwstr>0x010100AB4565BB804CC848BD2EF3E87A42FE8B0E00FE9A07376889AC42816B74943442C588</vt:lpwstr>
  </property>
  <property fmtid="{D5CDD505-2E9C-101B-9397-08002B2CF9AE}" pid="12" name="_dlc_DocIdItemGuid">
    <vt:lpwstr>5ea3c330-a700-4ca7-9521-4f52241c3393</vt:lpwstr>
  </property>
  <property fmtid="{D5CDD505-2E9C-101B-9397-08002B2CF9AE}" pid="13" name="RevIMBCS">
    <vt:lpwstr>5;#BCS|819376d4-bc70-4d53-bae7-773a2688b0e5</vt:lpwstr>
  </property>
  <property fmtid="{D5CDD505-2E9C-101B-9397-08002B2CF9AE}" pid="14" name="Service1">
    <vt:lpwstr>2;#Chief Executives Office|ac091c47-8a3c-481c-963a-01e0af7f440f</vt:lpwstr>
  </property>
</Properties>
</file>