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C10B" w14:textId="7F69009E" w:rsidR="2A330E91" w:rsidRDefault="45333EEE" w:rsidP="0461C051">
      <w:pPr>
        <w:ind w:left="-360"/>
      </w:pPr>
      <w:r>
        <w:rPr>
          <w:noProof/>
        </w:rPr>
        <w:drawing>
          <wp:inline distT="0" distB="0" distL="0" distR="0" wp14:anchorId="1152CF75" wp14:editId="56746D98">
            <wp:extent cx="5889048" cy="1114425"/>
            <wp:effectExtent l="0" t="0" r="0" b="0"/>
            <wp:docPr id="1272562082" name="Picture 127256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89048" cy="1114425"/>
                    </a:xfrm>
                    <a:prstGeom prst="rect">
                      <a:avLst/>
                    </a:prstGeom>
                  </pic:spPr>
                </pic:pic>
              </a:graphicData>
            </a:graphic>
          </wp:inline>
        </w:drawing>
      </w:r>
    </w:p>
    <w:tbl>
      <w:tblPr>
        <w:tblStyle w:val="TableGrid"/>
        <w:tblW w:w="0" w:type="auto"/>
        <w:tblLook w:val="04A0" w:firstRow="1" w:lastRow="0" w:firstColumn="1" w:lastColumn="0" w:noHBand="0" w:noVBand="1"/>
      </w:tblPr>
      <w:tblGrid>
        <w:gridCol w:w="1913"/>
        <w:gridCol w:w="7103"/>
      </w:tblGrid>
      <w:tr w:rsidR="00A259C2" w14:paraId="03FCC5F0" w14:textId="77777777" w:rsidTr="3199E62B">
        <w:tc>
          <w:tcPr>
            <w:tcW w:w="1913" w:type="dxa"/>
          </w:tcPr>
          <w:p w14:paraId="3BDB9CA3" w14:textId="24EF4DA7" w:rsidR="00A259C2" w:rsidRDefault="6B3E0169" w:rsidP="0461C051">
            <w:pPr>
              <w:rPr>
                <w:b/>
                <w:bCs/>
              </w:rPr>
            </w:pPr>
            <w:r w:rsidRPr="0461C051">
              <w:rPr>
                <w:b/>
                <w:bCs/>
              </w:rPr>
              <w:t xml:space="preserve">UKSPF </w:t>
            </w:r>
            <w:r w:rsidR="020EE6EF" w:rsidRPr="0461C051">
              <w:rPr>
                <w:b/>
                <w:bCs/>
              </w:rPr>
              <w:t>Theme</w:t>
            </w:r>
          </w:p>
        </w:tc>
        <w:tc>
          <w:tcPr>
            <w:tcW w:w="7103" w:type="dxa"/>
          </w:tcPr>
          <w:p w14:paraId="7314E75D" w14:textId="25C27480" w:rsidR="00A259C2" w:rsidRDefault="00A259C2">
            <w:r>
              <w:t>Communities and Place</w:t>
            </w:r>
          </w:p>
        </w:tc>
      </w:tr>
      <w:tr w:rsidR="00A259C2" w14:paraId="0D82F559" w14:textId="77777777" w:rsidTr="3199E62B">
        <w:tc>
          <w:tcPr>
            <w:tcW w:w="1913" w:type="dxa"/>
          </w:tcPr>
          <w:p w14:paraId="13423213" w14:textId="1AFC302A" w:rsidR="00A259C2" w:rsidRDefault="020EE6EF" w:rsidP="0461C051">
            <w:pPr>
              <w:rPr>
                <w:b/>
                <w:bCs/>
              </w:rPr>
            </w:pPr>
            <w:r w:rsidRPr="0461C051">
              <w:rPr>
                <w:b/>
                <w:bCs/>
              </w:rPr>
              <w:t>Intervention</w:t>
            </w:r>
          </w:p>
        </w:tc>
        <w:tc>
          <w:tcPr>
            <w:tcW w:w="7103" w:type="dxa"/>
          </w:tcPr>
          <w:p w14:paraId="6D87CAFB" w14:textId="69C4346F" w:rsidR="00A259C2" w:rsidRPr="00C72C10" w:rsidRDefault="00A259C2" w:rsidP="00A259C2">
            <w:pPr>
              <w:shd w:val="clear" w:color="auto" w:fill="FFFFFF"/>
              <w:spacing w:after="75"/>
              <w:rPr>
                <w:rFonts w:eastAsia="Times New Roman" w:cstheme="minorHAnsi"/>
                <w:color w:val="0B0C0C"/>
                <w:lang w:eastAsia="en-GB"/>
              </w:rPr>
            </w:pPr>
            <w:r w:rsidRPr="00C72C10">
              <w:rPr>
                <w:rFonts w:cstheme="minorHAnsi"/>
              </w:rPr>
              <w:t>S12 -</w:t>
            </w:r>
            <w:r w:rsidRPr="00C72C10">
              <w:rPr>
                <w:rFonts w:eastAsia="Times New Roman" w:cstheme="minorHAnsi"/>
                <w:color w:val="0B0C0C"/>
                <w:lang w:eastAsia="en-GB"/>
              </w:rPr>
              <w:t xml:space="preserve"> Investment and support for digital infrastructure for local community facilities</w:t>
            </w:r>
          </w:p>
        </w:tc>
      </w:tr>
      <w:tr w:rsidR="00A259C2" w14:paraId="54CE9F8E" w14:textId="77777777" w:rsidTr="3199E62B">
        <w:tc>
          <w:tcPr>
            <w:tcW w:w="1913" w:type="dxa"/>
          </w:tcPr>
          <w:p w14:paraId="49EB9D80" w14:textId="3ED3EC28" w:rsidR="00A259C2" w:rsidRDefault="4A9F577E" w:rsidP="0461C051">
            <w:pPr>
              <w:rPr>
                <w:b/>
                <w:bCs/>
              </w:rPr>
            </w:pPr>
            <w:r w:rsidRPr="0461C051">
              <w:rPr>
                <w:b/>
                <w:bCs/>
              </w:rPr>
              <w:t>Challenge Fund</w:t>
            </w:r>
            <w:r w:rsidR="020EE6EF" w:rsidRPr="0461C051">
              <w:rPr>
                <w:b/>
                <w:bCs/>
              </w:rPr>
              <w:t xml:space="preserve"> Overview</w:t>
            </w:r>
          </w:p>
        </w:tc>
        <w:tc>
          <w:tcPr>
            <w:tcW w:w="7103" w:type="dxa"/>
          </w:tcPr>
          <w:p w14:paraId="130BBE1F" w14:textId="1A9CC559" w:rsidR="00A259C2" w:rsidRDefault="00A259C2">
            <w:pPr>
              <w:rPr>
                <w:rFonts w:cstheme="minorHAnsi"/>
              </w:rPr>
            </w:pPr>
            <w:r w:rsidRPr="00C72C10">
              <w:rPr>
                <w:rFonts w:cstheme="minorHAnsi"/>
              </w:rPr>
              <w:t>The Community and Place theme aims t</w:t>
            </w:r>
            <w:r w:rsidR="00C72C10" w:rsidRPr="00C72C10">
              <w:rPr>
                <w:rFonts w:cstheme="minorHAnsi"/>
              </w:rPr>
              <w:t>o:</w:t>
            </w:r>
          </w:p>
          <w:p w14:paraId="0B4BB09E" w14:textId="77777777" w:rsidR="00C72C10" w:rsidRPr="00C72C10" w:rsidRDefault="00C72C10">
            <w:pPr>
              <w:rPr>
                <w:rFonts w:cstheme="minorHAnsi"/>
              </w:rPr>
            </w:pPr>
          </w:p>
          <w:p w14:paraId="4C146407" w14:textId="6C652D72" w:rsidR="00C72C10" w:rsidRPr="00C72C10" w:rsidRDefault="00C72C10" w:rsidP="00C72C10">
            <w:pPr>
              <w:numPr>
                <w:ilvl w:val="0"/>
                <w:numId w:val="4"/>
              </w:numPr>
              <w:shd w:val="clear" w:color="auto" w:fill="FFFFFF"/>
              <w:tabs>
                <w:tab w:val="clear" w:pos="720"/>
                <w:tab w:val="num" w:pos="387"/>
              </w:tabs>
              <w:spacing w:after="75"/>
              <w:ind w:left="387" w:hanging="283"/>
              <w:rPr>
                <w:rFonts w:eastAsia="Times New Roman" w:cstheme="minorHAnsi"/>
                <w:color w:val="0B0C0C"/>
                <w:lang w:eastAsia="en-GB"/>
              </w:rPr>
            </w:pPr>
            <w:r w:rsidRPr="00C72C10">
              <w:rPr>
                <w:rFonts w:eastAsia="Times New Roman" w:cstheme="minorHAnsi"/>
                <w:color w:val="0B0C0C"/>
                <w:lang w:eastAsia="en-GB"/>
              </w:rPr>
              <w:t xml:space="preserve">Strengthen our social fabric and foster a sense of local pride and belonging, through investment in activities that enhance physical, </w:t>
            </w:r>
            <w:proofErr w:type="gramStart"/>
            <w:r w:rsidRPr="00C72C10">
              <w:rPr>
                <w:rFonts w:eastAsia="Times New Roman" w:cstheme="minorHAnsi"/>
                <w:color w:val="0B0C0C"/>
                <w:lang w:eastAsia="en-GB"/>
              </w:rPr>
              <w:t>cultural</w:t>
            </w:r>
            <w:proofErr w:type="gramEnd"/>
            <w:r w:rsidRPr="00C72C10">
              <w:rPr>
                <w:rFonts w:eastAsia="Times New Roman" w:cstheme="minorHAnsi"/>
                <w:color w:val="0B0C0C"/>
                <w:lang w:eastAsia="en-GB"/>
              </w:rPr>
              <w:t xml:space="preserve"> and social ties and access to amenities, such as community infrastructure and local green space, and community-led projects.</w:t>
            </w:r>
          </w:p>
          <w:p w14:paraId="454E4612" w14:textId="6F3A6F2B" w:rsidR="00C72C10" w:rsidRPr="00C72C10" w:rsidRDefault="00C72C10" w:rsidP="00C72C10">
            <w:pPr>
              <w:numPr>
                <w:ilvl w:val="0"/>
                <w:numId w:val="4"/>
              </w:numPr>
              <w:shd w:val="clear" w:color="auto" w:fill="FFFFFF"/>
              <w:tabs>
                <w:tab w:val="clear" w:pos="720"/>
                <w:tab w:val="num" w:pos="387"/>
              </w:tabs>
              <w:spacing w:after="75"/>
              <w:ind w:left="387" w:hanging="283"/>
              <w:rPr>
                <w:rFonts w:eastAsia="Times New Roman" w:cstheme="minorHAnsi"/>
                <w:color w:val="0B0C0C"/>
                <w:lang w:eastAsia="en-GB"/>
              </w:rPr>
            </w:pPr>
            <w:r w:rsidRPr="00C72C10">
              <w:rPr>
                <w:rFonts w:eastAsia="Times New Roman" w:cstheme="minorHAnsi"/>
                <w:color w:val="0B0C0C"/>
                <w:lang w:eastAsia="en-GB"/>
              </w:rPr>
              <w:t xml:space="preserve">Build resilient, </w:t>
            </w:r>
            <w:proofErr w:type="gramStart"/>
            <w:r w:rsidRPr="00C72C10">
              <w:rPr>
                <w:rFonts w:eastAsia="Times New Roman" w:cstheme="minorHAnsi"/>
                <w:color w:val="0B0C0C"/>
                <w:lang w:eastAsia="en-GB"/>
              </w:rPr>
              <w:t>healthy</w:t>
            </w:r>
            <w:proofErr w:type="gramEnd"/>
            <w:r w:rsidRPr="00C72C10">
              <w:rPr>
                <w:rFonts w:eastAsia="Times New Roman" w:cstheme="minorHAnsi"/>
                <w:color w:val="0B0C0C"/>
                <w:lang w:eastAsia="en-GB"/>
              </w:rPr>
              <w:t xml:space="preserve"> and safe neighbourhoods, through investment in quality places that people want to live, work, play and learn in, through targeted improvements to the built and natural environment and innovative approaches to crime prevention.</w:t>
            </w:r>
          </w:p>
          <w:p w14:paraId="1983F644" w14:textId="77777777" w:rsidR="00C72C10" w:rsidRDefault="00C72C10" w:rsidP="79974BA1"/>
          <w:p w14:paraId="794EC00B" w14:textId="6EB5D81A" w:rsidR="40C00493" w:rsidRDefault="40C00493" w:rsidP="79974BA1">
            <w:r w:rsidRPr="79974BA1">
              <w:t xml:space="preserve">Within the Communities and Place theme the North Lanarkshire UKSPF investment plan will be delivered through </w:t>
            </w:r>
            <w:proofErr w:type="gramStart"/>
            <w:r w:rsidRPr="79974BA1">
              <w:t>a number of</w:t>
            </w:r>
            <w:proofErr w:type="gramEnd"/>
            <w:r w:rsidRPr="79974BA1">
              <w:t xml:space="preserve"> interventions. </w:t>
            </w:r>
            <w:r w:rsidR="2B6E97F7" w:rsidRPr="79974BA1">
              <w:t>This includes an allocation to provide investment and support for digital infrastructure for local community facilities. This will be delivered through a challenge fund, where community groups can make an applica</w:t>
            </w:r>
            <w:r w:rsidR="0887D6B7" w:rsidRPr="79974BA1">
              <w:t xml:space="preserve">tion for funding to improve the </w:t>
            </w:r>
            <w:r w:rsidR="61F7E50D" w:rsidRPr="79974BA1">
              <w:t xml:space="preserve">digital </w:t>
            </w:r>
            <w:r w:rsidR="0887D6B7" w:rsidRPr="79974BA1">
              <w:t xml:space="preserve">connectivity </w:t>
            </w:r>
            <w:r w:rsidR="7E635FC7" w:rsidRPr="79974BA1">
              <w:t>of their local community facility. This in turn will allow increased use of the facility b</w:t>
            </w:r>
            <w:r w:rsidR="69FECD06" w:rsidRPr="79974BA1">
              <w:t xml:space="preserve">y other local groups, provide an extended range of activities from the </w:t>
            </w:r>
            <w:proofErr w:type="gramStart"/>
            <w:r w:rsidR="69FECD06" w:rsidRPr="79974BA1">
              <w:t>facility</w:t>
            </w:r>
            <w:proofErr w:type="gramEnd"/>
            <w:r w:rsidR="69FECD06" w:rsidRPr="79974BA1">
              <w:t xml:space="preserve"> and increase </w:t>
            </w:r>
            <w:r w:rsidR="6A82FF28" w:rsidRPr="79974BA1">
              <w:t>engagement f</w:t>
            </w:r>
            <w:r w:rsidR="00713CA6">
              <w:t>r</w:t>
            </w:r>
            <w:r w:rsidR="6A82FF28" w:rsidRPr="79974BA1">
              <w:t>om the community as a whole.</w:t>
            </w:r>
          </w:p>
          <w:p w14:paraId="4C223F08" w14:textId="6CD8EBC0" w:rsidR="79974BA1" w:rsidRDefault="79974BA1" w:rsidP="79974BA1"/>
          <w:p w14:paraId="01CB93F6" w14:textId="6A012B6F" w:rsidR="002A216A" w:rsidRDefault="00D2690B">
            <w:r>
              <w:rPr>
                <w:rFonts w:cstheme="minorHAnsi"/>
              </w:rPr>
              <w:t>North Lanarkshire</w:t>
            </w:r>
            <w:r w:rsidR="00712D18">
              <w:rPr>
                <w:rFonts w:cstheme="minorHAnsi"/>
              </w:rPr>
              <w:t xml:space="preserve">’s </w:t>
            </w:r>
            <w:hyperlink r:id="rId11" w:history="1">
              <w:r w:rsidR="00712D18" w:rsidRPr="00DA37AA">
                <w:rPr>
                  <w:rStyle w:val="Hyperlink"/>
                  <w:rFonts w:cstheme="minorHAnsi"/>
                </w:rPr>
                <w:t>Digital and IT Strategy</w:t>
              </w:r>
            </w:hyperlink>
            <w:r w:rsidR="00D52F8C">
              <w:rPr>
                <w:rFonts w:cstheme="minorHAnsi"/>
              </w:rPr>
              <w:t xml:space="preserve"> identifies </w:t>
            </w:r>
            <w:r w:rsidR="000F0046">
              <w:rPr>
                <w:rFonts w:cstheme="minorHAnsi"/>
              </w:rPr>
              <w:t>Digital</w:t>
            </w:r>
            <w:r w:rsidR="00D52F8C">
              <w:rPr>
                <w:rFonts w:cstheme="minorHAnsi"/>
              </w:rPr>
              <w:t xml:space="preserve"> </w:t>
            </w:r>
            <w:r w:rsidR="000F0046">
              <w:rPr>
                <w:rFonts w:cstheme="minorHAnsi"/>
              </w:rPr>
              <w:t>Communities</w:t>
            </w:r>
            <w:r w:rsidR="00D52F8C">
              <w:rPr>
                <w:rFonts w:cstheme="minorHAnsi"/>
              </w:rPr>
              <w:t xml:space="preserve"> as a key theme with the aim of</w:t>
            </w:r>
            <w:r w:rsidR="000408B7">
              <w:t xml:space="preserve"> enhancing the coverage and reach of digital networks to all homes and businesses, eliminating areas of low connectivity, driving take up, tackling areas of digital exclusion, and creating markets that support affordability and give individuals and businesses improved choices.  </w:t>
            </w:r>
          </w:p>
          <w:p w14:paraId="65D4F76A" w14:textId="77777777" w:rsidR="00BE1E97" w:rsidRDefault="00BE1E97"/>
          <w:p w14:paraId="1F87826E" w14:textId="54E62F14" w:rsidR="00D2690B" w:rsidRDefault="000408B7" w:rsidP="79974BA1">
            <w:r>
              <w:t>This challenge fund is part of that overall a</w:t>
            </w:r>
            <w:r w:rsidR="004E7F39">
              <w:t xml:space="preserve">im and will contribute to the theme of digital communities by seeking to increase connectivity </w:t>
            </w:r>
            <w:r w:rsidR="48F4D9C8">
              <w:t xml:space="preserve">with a focus on </w:t>
            </w:r>
            <w:r w:rsidR="004A63F0">
              <w:t>support</w:t>
            </w:r>
            <w:r w:rsidR="5AFF7D2E">
              <w:t>ing</w:t>
            </w:r>
            <w:r w:rsidR="004A63F0">
              <w:t xml:space="preserve"> areas of digital exclusion.</w:t>
            </w:r>
          </w:p>
          <w:p w14:paraId="55D33B0A" w14:textId="33A3CF1F" w:rsidR="79974BA1" w:rsidRDefault="79974BA1" w:rsidP="79974BA1"/>
          <w:p w14:paraId="2CD17C44" w14:textId="1DCAA1D1" w:rsidR="5DF0E949" w:rsidRDefault="1BB0D53E" w:rsidP="79974BA1">
            <w:r>
              <w:t>Funding will complement the</w:t>
            </w:r>
            <w:r w:rsidR="3385E509">
              <w:t xml:space="preserve"> existing Digital Infrastructure Connectivity procurement with its focus on the installation of fibre connectivity across local towns and villages</w:t>
            </w:r>
            <w:r w:rsidR="38794046">
              <w:t xml:space="preserve">, by supporting areas where this is not yet a viable option. This could be to </w:t>
            </w:r>
            <w:r w:rsidR="36B6AD79">
              <w:t>either extend provision into new areas and f</w:t>
            </w:r>
            <w:r w:rsidR="6D3112A7">
              <w:t>acilities</w:t>
            </w:r>
            <w:r w:rsidR="36B6AD79">
              <w:t xml:space="preserve"> or to add to the current offer to make </w:t>
            </w:r>
            <w:r w:rsidR="345F004A">
              <w:t>installation options more viable. It may also support other infrastructure developments where fibre is not an option.</w:t>
            </w:r>
          </w:p>
          <w:p w14:paraId="6F0603D9" w14:textId="2FC7A7FA" w:rsidR="00C72C10" w:rsidRPr="00C72C10" w:rsidRDefault="00C72C10">
            <w:pPr>
              <w:rPr>
                <w:rFonts w:cstheme="minorHAnsi"/>
              </w:rPr>
            </w:pPr>
          </w:p>
        </w:tc>
      </w:tr>
      <w:tr w:rsidR="00A259C2" w14:paraId="759412A6" w14:textId="77777777" w:rsidTr="3199E62B">
        <w:tc>
          <w:tcPr>
            <w:tcW w:w="1913" w:type="dxa"/>
          </w:tcPr>
          <w:p w14:paraId="1C5655A6" w14:textId="6CC4D351" w:rsidR="00A259C2" w:rsidRDefault="020EE6EF" w:rsidP="0461C051">
            <w:pPr>
              <w:rPr>
                <w:b/>
                <w:bCs/>
              </w:rPr>
            </w:pPr>
            <w:r w:rsidRPr="0461C051">
              <w:rPr>
                <w:b/>
                <w:bCs/>
              </w:rPr>
              <w:lastRenderedPageBreak/>
              <w:t>Eligible Applicants</w:t>
            </w:r>
          </w:p>
        </w:tc>
        <w:tc>
          <w:tcPr>
            <w:tcW w:w="7103" w:type="dxa"/>
          </w:tcPr>
          <w:p w14:paraId="1425D0DE" w14:textId="6D8DF02C" w:rsidR="00006695" w:rsidRDefault="00006695">
            <w:r>
              <w:t xml:space="preserve">To be eligible to apply for funding, the applicant must be a constituted community or voluntary group and </w:t>
            </w:r>
            <w:r w:rsidR="756A4D88">
              <w:t xml:space="preserve">have </w:t>
            </w:r>
            <w:r>
              <w:t>responsi</w:t>
            </w:r>
            <w:r w:rsidR="2D5AB4B5">
              <w:t>bility</w:t>
            </w:r>
            <w:r>
              <w:t xml:space="preserve"> for the management of the community facility where the improvements are to be made.</w:t>
            </w:r>
            <w:r w:rsidR="1AD8B49B">
              <w:t xml:space="preserve"> The community facility must </w:t>
            </w:r>
            <w:proofErr w:type="gramStart"/>
            <w:r w:rsidR="1AD8B49B">
              <w:t>be located in</w:t>
            </w:r>
            <w:proofErr w:type="gramEnd"/>
            <w:r w:rsidR="1AD8B49B">
              <w:t xml:space="preserve"> North Lanarkshire.</w:t>
            </w:r>
          </w:p>
          <w:p w14:paraId="3D785B65" w14:textId="77777777" w:rsidR="00006695" w:rsidRDefault="00006695"/>
          <w:p w14:paraId="42672B6F" w14:textId="75E7E774" w:rsidR="00006695" w:rsidRDefault="00006695">
            <w:r>
              <w:t>You must own or have a long term (10 year) lease in place for the community facility where the improvements are to be made. If you lease the facility, you must have written permission from your landlord agreeing to the improvements.</w:t>
            </w:r>
          </w:p>
          <w:p w14:paraId="5CA735F7" w14:textId="15CE2311" w:rsidR="00006695" w:rsidRDefault="00006695"/>
          <w:p w14:paraId="202410F4" w14:textId="6ED86C38" w:rsidR="00006695" w:rsidRDefault="00006695">
            <w:r>
              <w:t>The applicant will be responsible for ensuring all regulatory permissions such a building warrants and/or listed building consent are in place.</w:t>
            </w:r>
            <w:r w:rsidR="2C02DF9D">
              <w:t xml:space="preserve"> As the funding available can only meet the costs associated with </w:t>
            </w:r>
            <w:r w:rsidR="11BBE89A">
              <w:t xml:space="preserve">installing the required infrastructure, the applicant must </w:t>
            </w:r>
            <w:r w:rsidR="7B30DAE9">
              <w:t xml:space="preserve">be able </w:t>
            </w:r>
            <w:r w:rsidR="11BBE89A">
              <w:t xml:space="preserve">demonstrate that they can meet the on-going revenue costs of the digital services </w:t>
            </w:r>
            <w:r w:rsidR="49FA3767">
              <w:t xml:space="preserve">such as </w:t>
            </w:r>
            <w:r w:rsidR="57571EDD">
              <w:t>your broadband subscription</w:t>
            </w:r>
            <w:r w:rsidR="1C629A73">
              <w:t xml:space="preserve"> once the installation is complete.</w:t>
            </w:r>
          </w:p>
          <w:p w14:paraId="372084D1" w14:textId="5C88D8B1" w:rsidR="00A259C2" w:rsidRDefault="00006695">
            <w:r>
              <w:t xml:space="preserve"> </w:t>
            </w:r>
          </w:p>
        </w:tc>
      </w:tr>
      <w:tr w:rsidR="00A259C2" w14:paraId="5999A478" w14:textId="77777777" w:rsidTr="3199E62B">
        <w:tc>
          <w:tcPr>
            <w:tcW w:w="1913" w:type="dxa"/>
          </w:tcPr>
          <w:p w14:paraId="11E250C1" w14:textId="362A225F" w:rsidR="00A259C2" w:rsidRDefault="020EE6EF" w:rsidP="0461C051">
            <w:pPr>
              <w:rPr>
                <w:b/>
                <w:bCs/>
              </w:rPr>
            </w:pPr>
            <w:r w:rsidRPr="0461C051">
              <w:rPr>
                <w:b/>
                <w:bCs/>
              </w:rPr>
              <w:t>Outputs/</w:t>
            </w:r>
          </w:p>
          <w:p w14:paraId="473ABBBB" w14:textId="086532F8" w:rsidR="00A259C2" w:rsidRDefault="020EE6EF" w:rsidP="0461C051">
            <w:pPr>
              <w:rPr>
                <w:b/>
                <w:bCs/>
              </w:rPr>
            </w:pPr>
            <w:r w:rsidRPr="0461C051">
              <w:rPr>
                <w:b/>
                <w:bCs/>
              </w:rPr>
              <w:t>outcomes</w:t>
            </w:r>
          </w:p>
        </w:tc>
        <w:tc>
          <w:tcPr>
            <w:tcW w:w="7103" w:type="dxa"/>
          </w:tcPr>
          <w:p w14:paraId="0AA2E698" w14:textId="4376C423" w:rsidR="00A259C2" w:rsidRDefault="00251AF0">
            <w:r>
              <w:t xml:space="preserve">It is expected that grants will be awarded to </w:t>
            </w:r>
            <w:r w:rsidR="7EF69E76">
              <w:t xml:space="preserve">up </w:t>
            </w:r>
            <w:r>
              <w:t>40 community and voluntary groups across North Lanarkshire.</w:t>
            </w:r>
          </w:p>
          <w:p w14:paraId="3340D78A" w14:textId="64903089" w:rsidR="00251AF0" w:rsidRDefault="00251AF0"/>
        </w:tc>
      </w:tr>
      <w:tr w:rsidR="00A259C2" w14:paraId="32259E96" w14:textId="77777777" w:rsidTr="3199E62B">
        <w:tc>
          <w:tcPr>
            <w:tcW w:w="1913" w:type="dxa"/>
          </w:tcPr>
          <w:p w14:paraId="0EBCD9F4" w14:textId="19666485" w:rsidR="00A259C2" w:rsidRDefault="020EE6EF" w:rsidP="0461C051">
            <w:pPr>
              <w:rPr>
                <w:b/>
                <w:bCs/>
              </w:rPr>
            </w:pPr>
            <w:r w:rsidRPr="0461C051">
              <w:rPr>
                <w:b/>
                <w:bCs/>
              </w:rPr>
              <w:t>Costs</w:t>
            </w:r>
          </w:p>
        </w:tc>
        <w:tc>
          <w:tcPr>
            <w:tcW w:w="7103" w:type="dxa"/>
          </w:tcPr>
          <w:p w14:paraId="131743FD" w14:textId="2F77E5FA" w:rsidR="00A259C2" w:rsidRDefault="00EF20D5">
            <w:r>
              <w:t xml:space="preserve">The grant awarded will not exceed £5,000 unless there are exceptional circumstances which result </w:t>
            </w:r>
            <w:r w:rsidR="00112886">
              <w:t>i</w:t>
            </w:r>
            <w:r>
              <w:t>n costs exceeding this value</w:t>
            </w:r>
            <w:r w:rsidR="005E63A4">
              <w:t xml:space="preserve"> and a justification</w:t>
            </w:r>
            <w:r w:rsidR="00112886">
              <w:t xml:space="preserve"> for this</w:t>
            </w:r>
            <w:r w:rsidR="005E63A4">
              <w:t xml:space="preserve"> is provided</w:t>
            </w:r>
            <w:r>
              <w:t>.</w:t>
            </w:r>
          </w:p>
          <w:p w14:paraId="567CE7C2" w14:textId="10D3CF14" w:rsidR="00EF20D5" w:rsidRDefault="00EF20D5"/>
          <w:p w14:paraId="3C2C74AD" w14:textId="2C8DCB98" w:rsidR="74817BAC" w:rsidRDefault="74817BAC" w:rsidP="3199E62B">
            <w:r>
              <w:t>The on-going service c</w:t>
            </w:r>
            <w:r w:rsidR="6C65E391">
              <w:t xml:space="preserve">harges to provide </w:t>
            </w:r>
            <w:r>
              <w:t>digital services cannot be included in the application</w:t>
            </w:r>
            <w:r w:rsidR="0C123D13">
              <w:t>.</w:t>
            </w:r>
          </w:p>
          <w:p w14:paraId="07447B11" w14:textId="0C971585" w:rsidR="3199E62B" w:rsidRDefault="3199E62B" w:rsidP="3199E62B"/>
          <w:p w14:paraId="28BBDE53" w14:textId="41926F8B" w:rsidR="00EF20D5" w:rsidRDefault="00EF20D5">
            <w:r>
              <w:t xml:space="preserve">A quote from </w:t>
            </w:r>
            <w:r w:rsidR="00112886">
              <w:t>the</w:t>
            </w:r>
            <w:r>
              <w:t xml:space="preserve"> preferred provider must be provided to </w:t>
            </w:r>
            <w:r w:rsidR="00112886">
              <w:t>evidence</w:t>
            </w:r>
            <w:r>
              <w:t xml:space="preserve"> the amount of grant being applied for.</w:t>
            </w:r>
            <w:r w:rsidR="00112886">
              <w:t xml:space="preserve"> Please make sure you include VAT if you cannot reclaim it.</w:t>
            </w:r>
          </w:p>
          <w:p w14:paraId="29CE0C80" w14:textId="60C25EA5" w:rsidR="008E6E43" w:rsidRDefault="008E6E43"/>
          <w:p w14:paraId="1BB5B91C" w14:textId="63EFCC72" w:rsidR="008E6E43" w:rsidRDefault="008E6E43">
            <w:r>
              <w:t>The following provides examples of the type of costs that can be funded. However</w:t>
            </w:r>
            <w:r w:rsidR="463A91A2">
              <w:t>,</w:t>
            </w:r>
            <w:r>
              <w:t xml:space="preserve"> this is not an exhaustive list and other costs will be considered if they meet the criteria for the fund:</w:t>
            </w:r>
          </w:p>
          <w:p w14:paraId="6C55849E" w14:textId="27CD8787" w:rsidR="008E6E43" w:rsidRPr="00E14727" w:rsidRDefault="008E6E43"/>
          <w:p w14:paraId="12D50FB3" w14:textId="0932B13B" w:rsidR="008E6E43" w:rsidRPr="00E14727" w:rsidRDefault="00006695" w:rsidP="008E6E43">
            <w:pPr>
              <w:pStyle w:val="ListParagraph"/>
              <w:numPr>
                <w:ilvl w:val="0"/>
                <w:numId w:val="6"/>
              </w:numPr>
            </w:pPr>
            <w:r w:rsidRPr="00E14727">
              <w:t>Installation of f</w:t>
            </w:r>
            <w:r w:rsidR="008E6E43" w:rsidRPr="00E14727">
              <w:t>ibre connectivity</w:t>
            </w:r>
          </w:p>
          <w:p w14:paraId="6B3CFCA6" w14:textId="22FAA62B" w:rsidR="008E6E43" w:rsidRPr="00E14727" w:rsidRDefault="77BBE36B" w:rsidP="008E6E43">
            <w:pPr>
              <w:pStyle w:val="ListParagraph"/>
              <w:numPr>
                <w:ilvl w:val="0"/>
                <w:numId w:val="6"/>
              </w:numPr>
            </w:pPr>
            <w:r w:rsidRPr="00E14727">
              <w:t xml:space="preserve">Wireless </w:t>
            </w:r>
            <w:r w:rsidR="008E6E43" w:rsidRPr="00E14727">
              <w:t>access points</w:t>
            </w:r>
            <w:r w:rsidR="76FC4ED4" w:rsidRPr="00E14727">
              <w:t xml:space="preserve"> and associated technology</w:t>
            </w:r>
          </w:p>
          <w:p w14:paraId="376AFF7B" w14:textId="1E9508E8" w:rsidR="008E6E43" w:rsidRPr="00E14727" w:rsidRDefault="008E6E43" w:rsidP="008E6E43">
            <w:pPr>
              <w:pStyle w:val="ListParagraph"/>
              <w:numPr>
                <w:ilvl w:val="0"/>
                <w:numId w:val="6"/>
              </w:numPr>
            </w:pPr>
            <w:r w:rsidRPr="00E14727">
              <w:t xml:space="preserve">Internal cabling and infrastructure to </w:t>
            </w:r>
            <w:r w:rsidR="06ACDA95" w:rsidRPr="00E14727">
              <w:t>accommodate</w:t>
            </w:r>
            <w:r w:rsidRPr="00E14727">
              <w:t xml:space="preserve"> </w:t>
            </w:r>
            <w:proofErr w:type="gramStart"/>
            <w:r w:rsidRPr="00E14727">
              <w:t>provision</w:t>
            </w:r>
            <w:proofErr w:type="gramEnd"/>
          </w:p>
          <w:p w14:paraId="0C33A4AF" w14:textId="60C7F53A" w:rsidR="00006695" w:rsidRPr="00E14727" w:rsidRDefault="00006695" w:rsidP="008E6E43">
            <w:pPr>
              <w:pStyle w:val="ListParagraph"/>
              <w:numPr>
                <w:ilvl w:val="0"/>
                <w:numId w:val="6"/>
              </w:numPr>
            </w:pPr>
            <w:r w:rsidRPr="00E14727">
              <w:t>Point to point wireless connectivity</w:t>
            </w:r>
            <w:r w:rsidR="00D502DC" w:rsidRPr="00E14727">
              <w:t xml:space="preserve"> </w:t>
            </w:r>
            <w:proofErr w:type="gramStart"/>
            <w:r w:rsidR="00D502DC" w:rsidRPr="00E14727">
              <w:t>solutions</w:t>
            </w:r>
            <w:proofErr w:type="gramEnd"/>
          </w:p>
          <w:p w14:paraId="1741698D" w14:textId="437AF5E1" w:rsidR="00EF20D5" w:rsidRPr="00E14727" w:rsidRDefault="00EF20D5"/>
          <w:p w14:paraId="5F37804B" w14:textId="38A33914" w:rsidR="00006695" w:rsidRDefault="00006695">
            <w:r>
              <w:t xml:space="preserve">The project must be </w:t>
            </w:r>
            <w:proofErr w:type="gramStart"/>
            <w:r>
              <w:t>complete</w:t>
            </w:r>
            <w:proofErr w:type="gramEnd"/>
            <w:r>
              <w:t xml:space="preserve"> and all costs incurred and claimed before 31 </w:t>
            </w:r>
            <w:r w:rsidR="00A5722B">
              <w:t>December 2024</w:t>
            </w:r>
            <w:r>
              <w:t>.</w:t>
            </w:r>
          </w:p>
          <w:p w14:paraId="7E021D29" w14:textId="32F25F5E" w:rsidR="00006695" w:rsidRDefault="00006695"/>
        </w:tc>
      </w:tr>
      <w:tr w:rsidR="00C8170B" w14:paraId="6D6AC86F" w14:textId="77777777" w:rsidTr="3199E62B">
        <w:tc>
          <w:tcPr>
            <w:tcW w:w="1913" w:type="dxa"/>
          </w:tcPr>
          <w:p w14:paraId="478B9A3E" w14:textId="77777777" w:rsidR="00C8170B" w:rsidRDefault="710AE3AA" w:rsidP="0461C051">
            <w:pPr>
              <w:rPr>
                <w:b/>
                <w:bCs/>
              </w:rPr>
            </w:pPr>
            <w:r w:rsidRPr="0461C051">
              <w:rPr>
                <w:b/>
                <w:bCs/>
              </w:rPr>
              <w:t>Project Assessment</w:t>
            </w:r>
          </w:p>
        </w:tc>
        <w:tc>
          <w:tcPr>
            <w:tcW w:w="7103" w:type="dxa"/>
          </w:tcPr>
          <w:p w14:paraId="51A926D9" w14:textId="77777777" w:rsidR="00C8170B" w:rsidRDefault="00C8170B" w:rsidP="00A52D12">
            <w:r>
              <w:t>You must provide a statement on why you need funding to take this project forward. This should include the impact on the local community facility where the connectivity will be improved and on the wider community that uses the facility. Applications will be assessed against the following criteria:</w:t>
            </w:r>
          </w:p>
          <w:p w14:paraId="61442301" w14:textId="77777777" w:rsidR="00C8170B" w:rsidRDefault="00C8170B" w:rsidP="00A52D12"/>
          <w:p w14:paraId="0DFFC4D8" w14:textId="071D656D" w:rsidR="00C8170B" w:rsidRDefault="00C8170B" w:rsidP="00A52D12">
            <w:pPr>
              <w:pStyle w:val="ListParagraph"/>
              <w:numPr>
                <w:ilvl w:val="0"/>
                <w:numId w:val="5"/>
              </w:numPr>
            </w:pPr>
            <w:r>
              <w:t xml:space="preserve">What additional services </w:t>
            </w:r>
            <w:r w:rsidR="1D327655">
              <w:t xml:space="preserve">or benefits </w:t>
            </w:r>
            <w:r>
              <w:t>will be delivered</w:t>
            </w:r>
            <w:r w:rsidR="6226218D">
              <w:t xml:space="preserve"> from the community facility supported</w:t>
            </w:r>
            <w:r>
              <w:t>?</w:t>
            </w:r>
          </w:p>
          <w:p w14:paraId="282F4007" w14:textId="77777777" w:rsidR="00C8170B" w:rsidRDefault="00C8170B" w:rsidP="00A52D12">
            <w:pPr>
              <w:pStyle w:val="ListParagraph"/>
              <w:numPr>
                <w:ilvl w:val="0"/>
                <w:numId w:val="5"/>
              </w:numPr>
            </w:pPr>
            <w:r>
              <w:t>How will existing services be improved?</w:t>
            </w:r>
          </w:p>
          <w:p w14:paraId="37B810CE" w14:textId="0F2302BB" w:rsidR="00C8170B" w:rsidRDefault="54F2C48E" w:rsidP="00A52D12">
            <w:pPr>
              <w:pStyle w:val="ListParagraph"/>
              <w:numPr>
                <w:ilvl w:val="0"/>
                <w:numId w:val="5"/>
              </w:numPr>
            </w:pPr>
            <w:r>
              <w:lastRenderedPageBreak/>
              <w:t>How w</w:t>
            </w:r>
            <w:r w:rsidR="00C8170B">
              <w:t>ill existing (and new) services be more accessible?</w:t>
            </w:r>
          </w:p>
          <w:p w14:paraId="2B697485" w14:textId="747A9F98" w:rsidR="00C8170B" w:rsidRDefault="00C8170B" w:rsidP="00A52D12">
            <w:pPr>
              <w:pStyle w:val="ListParagraph"/>
              <w:numPr>
                <w:ilvl w:val="0"/>
                <w:numId w:val="5"/>
              </w:numPr>
            </w:pPr>
            <w:r>
              <w:t>How many users are likely to benefit</w:t>
            </w:r>
            <w:r w:rsidR="7C2D25E3">
              <w:t xml:space="preserve"> from the improved connectivity in their local community facility</w:t>
            </w:r>
            <w:r>
              <w:t>?</w:t>
            </w:r>
          </w:p>
          <w:p w14:paraId="07A7E950" w14:textId="77777777" w:rsidR="00C8170B" w:rsidRDefault="00C8170B" w:rsidP="00A52D12">
            <w:pPr>
              <w:pStyle w:val="ListParagraph"/>
              <w:numPr>
                <w:ilvl w:val="0"/>
                <w:numId w:val="5"/>
              </w:numPr>
            </w:pPr>
            <w:r>
              <w:t>Will the improvement benefit an area of deprivation, including areas of rural isolation?</w:t>
            </w:r>
          </w:p>
          <w:p w14:paraId="3227ACB5" w14:textId="77777777" w:rsidR="00C8170B" w:rsidRDefault="00C8170B" w:rsidP="00A52D12"/>
          <w:p w14:paraId="64235806" w14:textId="56128917" w:rsidR="00CD05B7" w:rsidRDefault="001660AB" w:rsidP="00A52D12">
            <w:r>
              <w:t xml:space="preserve">A Digital Challenge Fund Assessment Panel will be set up to consider and </w:t>
            </w:r>
            <w:r w:rsidR="00EE7D0D">
              <w:t xml:space="preserve">approve applications to this fund. </w:t>
            </w:r>
          </w:p>
          <w:p w14:paraId="4FAE511E" w14:textId="0B82C0B6" w:rsidR="00CD05B7" w:rsidRDefault="00CD05B7" w:rsidP="00A52D12"/>
        </w:tc>
      </w:tr>
      <w:tr w:rsidR="00A259C2" w14:paraId="3DAC75D2" w14:textId="77777777" w:rsidTr="3199E62B">
        <w:tc>
          <w:tcPr>
            <w:tcW w:w="1913" w:type="dxa"/>
          </w:tcPr>
          <w:p w14:paraId="1D358A00" w14:textId="0054F37D" w:rsidR="00A259C2" w:rsidRDefault="020EE6EF" w:rsidP="0461C051">
            <w:pPr>
              <w:rPr>
                <w:b/>
                <w:bCs/>
              </w:rPr>
            </w:pPr>
            <w:r w:rsidRPr="0461C051">
              <w:rPr>
                <w:b/>
                <w:bCs/>
              </w:rPr>
              <w:lastRenderedPageBreak/>
              <w:t>Additional Requirements</w:t>
            </w:r>
          </w:p>
        </w:tc>
        <w:tc>
          <w:tcPr>
            <w:tcW w:w="7103" w:type="dxa"/>
          </w:tcPr>
          <w:p w14:paraId="15F0BCAC" w14:textId="1A365AD1" w:rsidR="00A259C2" w:rsidRDefault="00C72C10" w:rsidP="08B56FC6">
            <w:r>
              <w:t>Applicants should ensure that the activities set out in the</w:t>
            </w:r>
            <w:r w:rsidR="00E77E19">
              <w:t xml:space="preserve"> application are not eligible for the UK Government’s </w:t>
            </w:r>
            <w:hyperlink r:id="rId12">
              <w:r w:rsidR="00E77E19" w:rsidRPr="6C4E7577">
                <w:rPr>
                  <w:rStyle w:val="Hyperlink"/>
                </w:rPr>
                <w:t>Gigabit Broadband Voucher Scheme</w:t>
              </w:r>
            </w:hyperlink>
            <w:r w:rsidR="00E77E19">
              <w:t xml:space="preserve">  or the Scottish </w:t>
            </w:r>
            <w:r w:rsidR="10BAEADE">
              <w:t xml:space="preserve">Government’s </w:t>
            </w:r>
            <w:hyperlink r:id="rId13">
              <w:r w:rsidR="10BAEADE" w:rsidRPr="6C4E7577">
                <w:rPr>
                  <w:rStyle w:val="Hyperlink"/>
                </w:rPr>
                <w:t>Scottish Broadband Voucher Scheme</w:t>
              </w:r>
              <w:r w:rsidR="14E84D69" w:rsidRPr="6C4E7577">
                <w:rPr>
                  <w:rStyle w:val="Hyperlink"/>
                </w:rPr>
                <w:t>.</w:t>
              </w:r>
            </w:hyperlink>
            <w:r w:rsidR="14E84D69">
              <w:t xml:space="preserve"> Details of how the two schemes can work together can be found </w:t>
            </w:r>
            <w:hyperlink r:id="rId14">
              <w:r w:rsidR="14E84D69" w:rsidRPr="6C4E7577">
                <w:rPr>
                  <w:rStyle w:val="Hyperlink"/>
                </w:rPr>
                <w:t>here</w:t>
              </w:r>
            </w:hyperlink>
            <w:r w:rsidR="14E84D69">
              <w:t>.</w:t>
            </w:r>
          </w:p>
          <w:p w14:paraId="54F0AFAD" w14:textId="644D01ED" w:rsidR="6C4E7577" w:rsidRDefault="6C4E7577" w:rsidP="6C4E7577"/>
          <w:p w14:paraId="44A3D58C" w14:textId="4E3E781A" w:rsidR="34A68531" w:rsidRDefault="34A68531" w:rsidP="6C4E7577">
            <w:r>
              <w:t xml:space="preserve">Applicants can check eligibility for the Scottish Broadband Voucher scheme </w:t>
            </w:r>
            <w:hyperlink r:id="rId15">
              <w:r w:rsidRPr="6C4E7577">
                <w:rPr>
                  <w:rStyle w:val="Hyperlink"/>
                </w:rPr>
                <w:t>here</w:t>
              </w:r>
            </w:hyperlink>
            <w:r>
              <w:t>.</w:t>
            </w:r>
          </w:p>
          <w:p w14:paraId="74B383FC" w14:textId="3FDC5B23" w:rsidR="00A259C2" w:rsidRDefault="00A259C2"/>
          <w:p w14:paraId="714965B4" w14:textId="29041595" w:rsidR="7F8286C1" w:rsidRPr="00145737" w:rsidRDefault="5D66B34E" w:rsidP="3199E62B">
            <w:pPr>
              <w:spacing w:line="259" w:lineRule="auto"/>
            </w:pPr>
            <w:r w:rsidRPr="3199E62B">
              <w:rPr>
                <w:rFonts w:ascii="Calibri" w:eastAsia="Calibri" w:hAnsi="Calibri" w:cs="Calibri"/>
              </w:rPr>
              <w:t xml:space="preserve">Eligibility for these schemes must be utilised before </w:t>
            </w:r>
            <w:r w:rsidR="1C0B9880" w:rsidRPr="3199E62B">
              <w:rPr>
                <w:rFonts w:ascii="Calibri" w:eastAsia="Calibri" w:hAnsi="Calibri" w:cs="Calibri"/>
              </w:rPr>
              <w:t>applications to this challenge fund</w:t>
            </w:r>
            <w:r w:rsidRPr="3199E62B">
              <w:rPr>
                <w:rFonts w:ascii="Calibri" w:eastAsia="Calibri" w:hAnsi="Calibri" w:cs="Calibri"/>
              </w:rPr>
              <w:t xml:space="preserve"> will be considered</w:t>
            </w:r>
            <w:r w:rsidR="27CF6EE6" w:rsidRPr="3199E62B">
              <w:rPr>
                <w:rFonts w:ascii="Calibri" w:eastAsia="Calibri" w:hAnsi="Calibri" w:cs="Calibri"/>
              </w:rPr>
              <w:t>. W</w:t>
            </w:r>
            <w:r w:rsidRPr="3199E62B">
              <w:rPr>
                <w:rFonts w:ascii="Calibri" w:eastAsia="Calibri" w:hAnsi="Calibri" w:cs="Calibri"/>
              </w:rPr>
              <w:t xml:space="preserve">here appropriate the Council will </w:t>
            </w:r>
            <w:r w:rsidRPr="00145737">
              <w:rPr>
                <w:rFonts w:ascii="Calibri" w:eastAsia="Calibri" w:hAnsi="Calibri" w:cs="Calibri"/>
              </w:rPr>
              <w:t>consider the use of the Digital</w:t>
            </w:r>
            <w:r w:rsidR="00A461C7" w:rsidRPr="00145737">
              <w:rPr>
                <w:rFonts w:ascii="Calibri" w:eastAsia="Calibri" w:hAnsi="Calibri" w:cs="Calibri"/>
              </w:rPr>
              <w:t xml:space="preserve"> </w:t>
            </w:r>
            <w:r w:rsidRPr="00145737">
              <w:rPr>
                <w:rFonts w:ascii="Calibri" w:eastAsia="Calibri" w:hAnsi="Calibri" w:cs="Calibri"/>
              </w:rPr>
              <w:t>NL SPF as a top-up</w:t>
            </w:r>
            <w:r w:rsidR="4800ECA7" w:rsidRPr="00145737">
              <w:rPr>
                <w:rFonts w:ascii="Calibri" w:eastAsia="Calibri" w:hAnsi="Calibri" w:cs="Calibri"/>
              </w:rPr>
              <w:t xml:space="preserve"> for other funding awarded. </w:t>
            </w:r>
            <w:r w:rsidR="6BA22622" w:rsidRPr="00145737">
              <w:t>Th</w:t>
            </w:r>
            <w:r w:rsidR="622F153B" w:rsidRPr="00145737">
              <w:t>i</w:t>
            </w:r>
            <w:r w:rsidR="6BA22622" w:rsidRPr="00145737">
              <w:t xml:space="preserve">s will be dependent on the </w:t>
            </w:r>
            <w:r w:rsidR="4D0B2704" w:rsidRPr="00145737">
              <w:t xml:space="preserve">total </w:t>
            </w:r>
            <w:r w:rsidR="6BA22622" w:rsidRPr="00145737">
              <w:t xml:space="preserve">cost of </w:t>
            </w:r>
            <w:r w:rsidR="58219D9D" w:rsidRPr="00145737">
              <w:t>the</w:t>
            </w:r>
            <w:r w:rsidR="6BA22622" w:rsidRPr="00145737">
              <w:t xml:space="preserve"> </w:t>
            </w:r>
            <w:r w:rsidR="58219D9D" w:rsidRPr="00145737">
              <w:t xml:space="preserve">project </w:t>
            </w:r>
            <w:r w:rsidR="6BA22622" w:rsidRPr="00145737">
              <w:t xml:space="preserve">and </w:t>
            </w:r>
            <w:r w:rsidR="418187D4" w:rsidRPr="00145737">
              <w:t xml:space="preserve">overall </w:t>
            </w:r>
            <w:r w:rsidR="6BA22622" w:rsidRPr="00145737">
              <w:t xml:space="preserve">benefits it will bring to </w:t>
            </w:r>
            <w:r w:rsidR="20C5A624" w:rsidRPr="00145737">
              <w:t xml:space="preserve">the </w:t>
            </w:r>
            <w:r w:rsidR="6BA22622" w:rsidRPr="00145737">
              <w:t xml:space="preserve">local community. </w:t>
            </w:r>
            <w:r w:rsidR="0F8E07FC" w:rsidRPr="00145737">
              <w:t xml:space="preserve">Applicants </w:t>
            </w:r>
            <w:r w:rsidR="009F07EA" w:rsidRPr="00145737">
              <w:t xml:space="preserve">seeking a top up </w:t>
            </w:r>
            <w:r w:rsidR="0F8E07FC" w:rsidRPr="00145737">
              <w:t xml:space="preserve">should </w:t>
            </w:r>
            <w:r w:rsidR="00194DAF" w:rsidRPr="00145737">
              <w:t xml:space="preserve">email </w:t>
            </w:r>
            <w:hyperlink r:id="rId16" w:history="1">
              <w:r w:rsidR="00A461C7" w:rsidRPr="00145737">
                <w:rPr>
                  <w:rStyle w:val="Hyperlink"/>
                  <w:color w:val="0070C0"/>
                </w:rPr>
                <w:t>uksharedprosperityfund@northlan.gov.uk</w:t>
              </w:r>
            </w:hyperlink>
            <w:r w:rsidR="00194DAF" w:rsidRPr="00145737">
              <w:t xml:space="preserve"> </w:t>
            </w:r>
            <w:r w:rsidR="009F07EA" w:rsidRPr="00145737">
              <w:t>providing details of the costs an</w:t>
            </w:r>
            <w:r w:rsidR="00145737">
              <w:t>d</w:t>
            </w:r>
            <w:r w:rsidR="009F07EA" w:rsidRPr="00145737">
              <w:t xml:space="preserve"> other funding in place</w:t>
            </w:r>
            <w:r w:rsidR="0F8E07FC" w:rsidRPr="00145737">
              <w:t xml:space="preserve"> prior to </w:t>
            </w:r>
            <w:proofErr w:type="gramStart"/>
            <w:r w:rsidR="0F8E07FC" w:rsidRPr="00145737">
              <w:t>submitting an application</w:t>
            </w:r>
            <w:proofErr w:type="gramEnd"/>
            <w:r w:rsidR="00145737" w:rsidRPr="00145737">
              <w:t xml:space="preserve"> so that further advice can be provided.</w:t>
            </w:r>
          </w:p>
          <w:p w14:paraId="29FBD879" w14:textId="6DFD9F24" w:rsidR="00EF20D5" w:rsidRDefault="00EF20D5"/>
        </w:tc>
      </w:tr>
      <w:tr w:rsidR="2A330E91" w14:paraId="3A7B9DC4" w14:textId="77777777" w:rsidTr="3199E62B">
        <w:trPr>
          <w:trHeight w:val="300"/>
        </w:trPr>
        <w:tc>
          <w:tcPr>
            <w:tcW w:w="1913" w:type="dxa"/>
          </w:tcPr>
          <w:p w14:paraId="4AE0CAC6" w14:textId="4CD3697A" w:rsidR="19C52DD4" w:rsidRDefault="23A80DB0" w:rsidP="0461C051">
            <w:pPr>
              <w:rPr>
                <w:b/>
                <w:bCs/>
              </w:rPr>
            </w:pPr>
            <w:r w:rsidRPr="0461C051">
              <w:rPr>
                <w:b/>
                <w:bCs/>
              </w:rPr>
              <w:t>Supporting Documents</w:t>
            </w:r>
          </w:p>
        </w:tc>
        <w:tc>
          <w:tcPr>
            <w:tcW w:w="7103" w:type="dxa"/>
          </w:tcPr>
          <w:p w14:paraId="4147A2FE" w14:textId="7911A56C" w:rsidR="19C52DD4" w:rsidRDefault="19C52DD4" w:rsidP="2A330E91">
            <w:r>
              <w:t>All applicants must submit the followin</w:t>
            </w:r>
            <w:r w:rsidR="3B65B607">
              <w:t xml:space="preserve">g </w:t>
            </w:r>
            <w:proofErr w:type="gramStart"/>
            <w:r w:rsidR="3B65B607">
              <w:t>in order to</w:t>
            </w:r>
            <w:proofErr w:type="gramEnd"/>
            <w:r w:rsidR="3B65B607">
              <w:t xml:space="preserve"> apply to this cha</w:t>
            </w:r>
            <w:r w:rsidR="334A1DEC">
              <w:t>llenge fund:</w:t>
            </w:r>
          </w:p>
          <w:p w14:paraId="584F943F" w14:textId="3E37F013" w:rsidR="2A330E91" w:rsidRDefault="2A330E91" w:rsidP="2A330E91"/>
          <w:p w14:paraId="34504DA5" w14:textId="76180CF6" w:rsidR="334A1DEC" w:rsidRDefault="334A1DEC" w:rsidP="2A330E91">
            <w:pPr>
              <w:pStyle w:val="ListParagraph"/>
              <w:numPr>
                <w:ilvl w:val="0"/>
                <w:numId w:val="2"/>
              </w:numPr>
            </w:pPr>
            <w:r>
              <w:t xml:space="preserve">Application form – a completed digital connectivity application form duly signed by an authorised </w:t>
            </w:r>
            <w:r w:rsidR="595D0DD1">
              <w:t>Board or committee member of the applicant.</w:t>
            </w:r>
          </w:p>
          <w:p w14:paraId="006D0704" w14:textId="41E730D0" w:rsidR="595D0DD1" w:rsidRDefault="595D0DD1" w:rsidP="2A330E91">
            <w:pPr>
              <w:pStyle w:val="ListParagraph"/>
              <w:numPr>
                <w:ilvl w:val="0"/>
                <w:numId w:val="2"/>
              </w:numPr>
            </w:pPr>
            <w:r>
              <w:t>Evidence of incorporation – such as the constitution or memorandum and articles of ass</w:t>
            </w:r>
            <w:r w:rsidR="1E688967">
              <w:t>ociation</w:t>
            </w:r>
            <w:r>
              <w:t xml:space="preserve"> of the applicant group</w:t>
            </w:r>
          </w:p>
          <w:p w14:paraId="458CB7DD" w14:textId="76FDBB3B" w:rsidR="336CC7F0" w:rsidRDefault="336CC7F0" w:rsidP="2A330E91">
            <w:pPr>
              <w:pStyle w:val="ListParagraph"/>
              <w:numPr>
                <w:ilvl w:val="0"/>
                <w:numId w:val="2"/>
              </w:numPr>
            </w:pPr>
            <w:r>
              <w:t>Evidence of ownership o</w:t>
            </w:r>
            <w:r w:rsidR="0EE52702">
              <w:t>r</w:t>
            </w:r>
            <w:r>
              <w:t xml:space="preserve"> lease of the community facility where the improvements will take place</w:t>
            </w:r>
            <w:r w:rsidR="678091CF">
              <w:t xml:space="preserve"> – this could be a copy of the lease summary for the premises or proof of ownership. If the facility is lease</w:t>
            </w:r>
            <w:r w:rsidR="4D8A0C33">
              <w:t>d</w:t>
            </w:r>
            <w:r w:rsidR="678091CF">
              <w:t xml:space="preserve"> confirmation </w:t>
            </w:r>
            <w:r w:rsidR="6C8653C4">
              <w:t>of the landlord</w:t>
            </w:r>
            <w:r w:rsidR="33774BEA">
              <w:t>’</w:t>
            </w:r>
            <w:r w:rsidR="6C8653C4">
              <w:t>s approval of the work will also be required.</w:t>
            </w:r>
          </w:p>
          <w:p w14:paraId="7F44DC1C" w14:textId="2E61254B" w:rsidR="7B04C662" w:rsidRDefault="7B04C662" w:rsidP="2A330E91">
            <w:pPr>
              <w:pStyle w:val="ListParagraph"/>
              <w:numPr>
                <w:ilvl w:val="0"/>
                <w:numId w:val="2"/>
              </w:numPr>
            </w:pPr>
            <w:r>
              <w:t>Evidence of project costs – this will normally be a quote from the preferred supplier and will include VAT where applicable.</w:t>
            </w:r>
          </w:p>
          <w:p w14:paraId="51217CB1" w14:textId="11D4014E" w:rsidR="33431530" w:rsidRDefault="33431530" w:rsidP="2A330E91">
            <w:pPr>
              <w:pStyle w:val="ListParagraph"/>
              <w:numPr>
                <w:ilvl w:val="0"/>
                <w:numId w:val="2"/>
              </w:numPr>
            </w:pPr>
            <w:r>
              <w:t xml:space="preserve">Cashflow projection – this should be provided for the following </w:t>
            </w:r>
            <w:proofErr w:type="gramStart"/>
            <w:r>
              <w:t>12 month</w:t>
            </w:r>
            <w:proofErr w:type="gramEnd"/>
            <w:r>
              <w:t xml:space="preserve"> period to provide evidence that the applicant can meet on-going revenue costs related to the improvement in connect</w:t>
            </w:r>
            <w:r w:rsidR="0A79EFAE">
              <w:t>ivity</w:t>
            </w:r>
          </w:p>
          <w:p w14:paraId="774BFF62" w14:textId="6BC53D54" w:rsidR="2A330E91" w:rsidRDefault="2A330E91" w:rsidP="2A330E91"/>
          <w:p w14:paraId="75CC2F0F" w14:textId="77777777" w:rsidR="2A330E91" w:rsidRDefault="0A79EFAE" w:rsidP="00685E80">
            <w:r>
              <w:t xml:space="preserve">All </w:t>
            </w:r>
            <w:r w:rsidR="00407F25">
              <w:t xml:space="preserve">applications </w:t>
            </w:r>
            <w:r w:rsidR="009D578D">
              <w:t xml:space="preserve">and </w:t>
            </w:r>
            <w:r>
              <w:t xml:space="preserve">supporting documentation must be submitted by e-mail to </w:t>
            </w:r>
            <w:hyperlink r:id="rId17">
              <w:r w:rsidR="0E69EE01" w:rsidRPr="2A330E91">
                <w:rPr>
                  <w:rStyle w:val="Hyperlink"/>
                </w:rPr>
                <w:t>uksharedprosperityfund@northlan.gov.uk</w:t>
              </w:r>
            </w:hyperlink>
            <w:r w:rsidR="0E69EE01">
              <w:t xml:space="preserve"> </w:t>
            </w:r>
            <w:r w:rsidR="00407F25">
              <w:t>and include Digital NL in the subject line</w:t>
            </w:r>
            <w:r w:rsidR="009D578D">
              <w:t xml:space="preserve">. </w:t>
            </w:r>
            <w:r w:rsidR="00F12256">
              <w:t xml:space="preserve">Applications will be accepted and assessed </w:t>
            </w:r>
            <w:r w:rsidR="00D02F7C">
              <w:t xml:space="preserve">on a rolling basis and decisions communicated as soon as practical. </w:t>
            </w:r>
          </w:p>
          <w:p w14:paraId="4CB7A435" w14:textId="0FD383D7" w:rsidR="00685E80" w:rsidRDefault="00685E80" w:rsidP="00685E80"/>
        </w:tc>
      </w:tr>
      <w:tr w:rsidR="2A330E91" w14:paraId="2EFE9627" w14:textId="77777777" w:rsidTr="3199E62B">
        <w:trPr>
          <w:trHeight w:val="300"/>
        </w:trPr>
        <w:tc>
          <w:tcPr>
            <w:tcW w:w="1913" w:type="dxa"/>
          </w:tcPr>
          <w:p w14:paraId="303615FF" w14:textId="6A41FF88" w:rsidR="1E3CB432" w:rsidRDefault="50CD4CDA" w:rsidP="0461C051">
            <w:pPr>
              <w:rPr>
                <w:b/>
                <w:bCs/>
              </w:rPr>
            </w:pPr>
            <w:r w:rsidRPr="0461C051">
              <w:rPr>
                <w:b/>
                <w:bCs/>
              </w:rPr>
              <w:lastRenderedPageBreak/>
              <w:t>Appraisal and Decision</w:t>
            </w:r>
          </w:p>
        </w:tc>
        <w:tc>
          <w:tcPr>
            <w:tcW w:w="7103" w:type="dxa"/>
          </w:tcPr>
          <w:p w14:paraId="3BDA1833" w14:textId="3C00C372" w:rsidR="1E3CB432" w:rsidRDefault="1E3CB432" w:rsidP="2A330E91">
            <w:pPr>
              <w:rPr>
                <w:rFonts w:eastAsiaTheme="minorEastAsia"/>
                <w:color w:val="000000" w:themeColor="text1"/>
              </w:rPr>
            </w:pPr>
            <w:r w:rsidRPr="2A330E91">
              <w:rPr>
                <w:rFonts w:eastAsiaTheme="minorEastAsia"/>
                <w:color w:val="000000" w:themeColor="text1"/>
              </w:rPr>
              <w:t>Applicants must receive a decision on their application from North Lanarkshire Council, before any purchases are made, project works begin, or any other activity or expenditure relating to the project commences.</w:t>
            </w:r>
          </w:p>
          <w:p w14:paraId="02D162BF" w14:textId="14CFFE90" w:rsidR="2A330E91" w:rsidRDefault="2A330E91" w:rsidP="2A330E91">
            <w:pPr>
              <w:rPr>
                <w:rFonts w:eastAsiaTheme="minorEastAsia"/>
                <w:color w:val="000000" w:themeColor="text1"/>
              </w:rPr>
            </w:pPr>
          </w:p>
          <w:p w14:paraId="0A74E933" w14:textId="30D9419C" w:rsidR="1E3CB432" w:rsidRDefault="1E3CB432" w:rsidP="2A330E91">
            <w:pPr>
              <w:rPr>
                <w:rFonts w:eastAsiaTheme="minorEastAsia"/>
                <w:color w:val="000000" w:themeColor="text1"/>
              </w:rPr>
            </w:pPr>
            <w:r w:rsidRPr="2A330E91">
              <w:rPr>
                <w:rFonts w:eastAsiaTheme="minorEastAsia"/>
                <w:color w:val="000000" w:themeColor="text1"/>
              </w:rPr>
              <w:t>Any goods or services purchased, or activity undertaken before a grant decision is made will subsequently be ineligible for grant payment and may result in the entire grant award being cancelled.</w:t>
            </w:r>
          </w:p>
          <w:p w14:paraId="1FC011A1" w14:textId="430569EA" w:rsidR="2A330E91" w:rsidRDefault="2A330E91" w:rsidP="2A330E91">
            <w:pPr>
              <w:rPr>
                <w:rFonts w:eastAsiaTheme="minorEastAsia"/>
                <w:color w:val="000000" w:themeColor="text1"/>
              </w:rPr>
            </w:pPr>
          </w:p>
          <w:p w14:paraId="57AC3D95" w14:textId="274F8399" w:rsidR="0F3D83EF" w:rsidRDefault="0F3D83EF" w:rsidP="2A330E91">
            <w:pPr>
              <w:rPr>
                <w:rFonts w:eastAsiaTheme="minorEastAsia"/>
              </w:rPr>
            </w:pPr>
            <w:r w:rsidRPr="2A330E91">
              <w:rPr>
                <w:rFonts w:eastAsiaTheme="minorEastAsia"/>
                <w:color w:val="000000" w:themeColor="text1"/>
              </w:rPr>
              <w:t xml:space="preserve">All applicants (successful and unsuccessful) will be notified of the decision by e-mail in the first instance. Successful applicants will subsequently receive an award letter (sent to the address specified in the grant application), including a Grant Acceptance Form which must be signed, </w:t>
            </w:r>
            <w:proofErr w:type="gramStart"/>
            <w:r w:rsidRPr="2A330E91">
              <w:rPr>
                <w:rFonts w:eastAsiaTheme="minorEastAsia"/>
                <w:color w:val="000000" w:themeColor="text1"/>
              </w:rPr>
              <w:t>dated</w:t>
            </w:r>
            <w:proofErr w:type="gramEnd"/>
            <w:r w:rsidRPr="2A330E91">
              <w:rPr>
                <w:rFonts w:eastAsiaTheme="minorEastAsia"/>
                <w:color w:val="000000" w:themeColor="text1"/>
              </w:rPr>
              <w:t xml:space="preserve"> and returned within 21 days of the award date specified on the grant award letter.</w:t>
            </w:r>
          </w:p>
          <w:p w14:paraId="15A363CC" w14:textId="3C74A57A" w:rsidR="2A330E91" w:rsidRDefault="2A330E91" w:rsidP="2A330E91">
            <w:pPr>
              <w:rPr>
                <w:rFonts w:eastAsiaTheme="minorEastAsia"/>
                <w:color w:val="000000" w:themeColor="text1"/>
              </w:rPr>
            </w:pPr>
          </w:p>
        </w:tc>
      </w:tr>
      <w:tr w:rsidR="2A330E91" w14:paraId="41A5F26E" w14:textId="77777777" w:rsidTr="3199E62B">
        <w:trPr>
          <w:trHeight w:val="300"/>
        </w:trPr>
        <w:tc>
          <w:tcPr>
            <w:tcW w:w="1913" w:type="dxa"/>
          </w:tcPr>
          <w:p w14:paraId="645E416C" w14:textId="6F095626" w:rsidR="26CE4555" w:rsidRDefault="5B4ED579" w:rsidP="0461C051">
            <w:pPr>
              <w:rPr>
                <w:b/>
                <w:bCs/>
              </w:rPr>
            </w:pPr>
            <w:r w:rsidRPr="0461C051">
              <w:rPr>
                <w:b/>
                <w:bCs/>
              </w:rPr>
              <w:t>Grant Claims</w:t>
            </w:r>
          </w:p>
        </w:tc>
        <w:tc>
          <w:tcPr>
            <w:tcW w:w="7103" w:type="dxa"/>
          </w:tcPr>
          <w:p w14:paraId="78055852" w14:textId="36BC5C64" w:rsidR="2A330E91" w:rsidRDefault="2F1B3CD5" w:rsidP="0461C051">
            <w:pPr>
              <w:rPr>
                <w:rFonts w:eastAsiaTheme="minorEastAsia"/>
                <w:color w:val="000000" w:themeColor="text1"/>
              </w:rPr>
            </w:pPr>
            <w:r w:rsidRPr="0461C051">
              <w:rPr>
                <w:rFonts w:eastAsiaTheme="minorEastAsia"/>
                <w:color w:val="000000" w:themeColor="text1"/>
              </w:rPr>
              <w:t xml:space="preserve">Applicants can submit a claim for grant payment once the project has been successfully completed as set out in the </w:t>
            </w:r>
            <w:r w:rsidR="33489F60" w:rsidRPr="0461C051">
              <w:rPr>
                <w:rFonts w:eastAsiaTheme="minorEastAsia"/>
                <w:color w:val="000000" w:themeColor="text1"/>
              </w:rPr>
              <w:t>original</w:t>
            </w:r>
            <w:r w:rsidRPr="0461C051">
              <w:rPr>
                <w:rFonts w:eastAsiaTheme="minorEastAsia"/>
                <w:color w:val="000000" w:themeColor="text1"/>
              </w:rPr>
              <w:t xml:space="preserve"> application form and all </w:t>
            </w:r>
            <w:r w:rsidR="1F9E2FBE" w:rsidRPr="0461C051">
              <w:rPr>
                <w:rFonts w:eastAsiaTheme="minorEastAsia"/>
                <w:color w:val="000000" w:themeColor="text1"/>
              </w:rPr>
              <w:t>suppliers</w:t>
            </w:r>
            <w:r w:rsidRPr="0461C051">
              <w:rPr>
                <w:rFonts w:eastAsiaTheme="minorEastAsia"/>
                <w:color w:val="000000" w:themeColor="text1"/>
              </w:rPr>
              <w:t xml:space="preserve"> have been paid</w:t>
            </w:r>
            <w:r w:rsidR="513F1939" w:rsidRPr="0461C051">
              <w:rPr>
                <w:rFonts w:eastAsiaTheme="minorEastAsia"/>
                <w:color w:val="000000" w:themeColor="text1"/>
              </w:rPr>
              <w:t>.</w:t>
            </w:r>
          </w:p>
          <w:p w14:paraId="617A947A" w14:textId="7484B311" w:rsidR="2A330E91" w:rsidRDefault="2A330E91" w:rsidP="0461C051">
            <w:pPr>
              <w:rPr>
                <w:rFonts w:eastAsiaTheme="minorEastAsia"/>
                <w:color w:val="000000" w:themeColor="text1"/>
              </w:rPr>
            </w:pPr>
          </w:p>
          <w:p w14:paraId="26929822" w14:textId="3413A25F" w:rsidR="2A330E91" w:rsidRDefault="513F1939" w:rsidP="0461C051">
            <w:pPr>
              <w:rPr>
                <w:rFonts w:eastAsiaTheme="minorEastAsia"/>
                <w:color w:val="000000" w:themeColor="text1"/>
              </w:rPr>
            </w:pPr>
            <w:r w:rsidRPr="0461C051">
              <w:rPr>
                <w:rFonts w:eastAsiaTheme="minorEastAsia"/>
                <w:color w:val="000000" w:themeColor="text1"/>
              </w:rPr>
              <w:t xml:space="preserve">A claim form must be complete and submitted along with evidence of the spend incurred including copies of all invoices and copies of the </w:t>
            </w:r>
            <w:r w:rsidR="006FB311" w:rsidRPr="0461C051">
              <w:rPr>
                <w:rFonts w:eastAsiaTheme="minorEastAsia"/>
                <w:color w:val="000000" w:themeColor="text1"/>
              </w:rPr>
              <w:t>community</w:t>
            </w:r>
            <w:r w:rsidRPr="0461C051">
              <w:rPr>
                <w:rFonts w:eastAsiaTheme="minorEastAsia"/>
                <w:color w:val="000000" w:themeColor="text1"/>
              </w:rPr>
              <w:t xml:space="preserve"> groups bank statements showing all</w:t>
            </w:r>
            <w:r w:rsidR="61F1BE44" w:rsidRPr="0461C051">
              <w:rPr>
                <w:rFonts w:eastAsiaTheme="minorEastAsia"/>
                <w:color w:val="000000" w:themeColor="text1"/>
              </w:rPr>
              <w:t xml:space="preserve"> payments in respect of this project.</w:t>
            </w:r>
          </w:p>
          <w:p w14:paraId="3EC049C3" w14:textId="70D555EC" w:rsidR="2A330E91" w:rsidRDefault="2A330E91" w:rsidP="0461C051">
            <w:pPr>
              <w:rPr>
                <w:rFonts w:eastAsiaTheme="minorEastAsia"/>
                <w:color w:val="000000" w:themeColor="text1"/>
              </w:rPr>
            </w:pPr>
          </w:p>
          <w:p w14:paraId="45EE50EC" w14:textId="09C8F55A" w:rsidR="2A330E91" w:rsidRDefault="5FC225A9" w:rsidP="0461C051">
            <w:pPr>
              <w:rPr>
                <w:rFonts w:eastAsiaTheme="minorEastAsia"/>
                <w:color w:val="FF0000"/>
              </w:rPr>
            </w:pPr>
            <w:r w:rsidRPr="0461C051">
              <w:rPr>
                <w:rFonts w:eastAsiaTheme="minorEastAsia"/>
                <w:color w:val="000000" w:themeColor="text1"/>
              </w:rPr>
              <w:t xml:space="preserve">All grant claims must be submitted </w:t>
            </w:r>
            <w:r w:rsidR="7D354B51" w:rsidRPr="0461C051">
              <w:rPr>
                <w:rFonts w:eastAsiaTheme="minorEastAsia"/>
                <w:color w:val="000000" w:themeColor="text1"/>
              </w:rPr>
              <w:t xml:space="preserve">along with supporting evidence </w:t>
            </w:r>
            <w:r w:rsidRPr="0461C051">
              <w:rPr>
                <w:rFonts w:eastAsiaTheme="minorEastAsia"/>
                <w:color w:val="000000" w:themeColor="text1"/>
              </w:rPr>
              <w:t>no later tha</w:t>
            </w:r>
            <w:r w:rsidR="5C87BDEA" w:rsidRPr="0461C051">
              <w:rPr>
                <w:rFonts w:eastAsiaTheme="minorEastAsia"/>
                <w:color w:val="000000" w:themeColor="text1"/>
              </w:rPr>
              <w:t>n</w:t>
            </w:r>
            <w:r w:rsidRPr="0461C051">
              <w:rPr>
                <w:rFonts w:eastAsiaTheme="minorEastAsia"/>
                <w:color w:val="000000" w:themeColor="text1"/>
              </w:rPr>
              <w:t xml:space="preserve"> 31 </w:t>
            </w:r>
            <w:r w:rsidR="00C20C47">
              <w:rPr>
                <w:rFonts w:eastAsiaTheme="minorEastAsia"/>
                <w:color w:val="000000" w:themeColor="text1"/>
              </w:rPr>
              <w:t>Decem</w:t>
            </w:r>
            <w:r w:rsidR="00671C62">
              <w:rPr>
                <w:rFonts w:eastAsiaTheme="minorEastAsia"/>
                <w:color w:val="000000" w:themeColor="text1"/>
              </w:rPr>
              <w:t>ber 2024.</w:t>
            </w:r>
          </w:p>
          <w:p w14:paraId="3020F3A7" w14:textId="18A6ECEB" w:rsidR="2A330E91" w:rsidRDefault="2A330E91" w:rsidP="0461C051">
            <w:pPr>
              <w:rPr>
                <w:rFonts w:eastAsiaTheme="minorEastAsia"/>
                <w:color w:val="000000" w:themeColor="text1"/>
              </w:rPr>
            </w:pPr>
          </w:p>
          <w:p w14:paraId="73680122" w14:textId="73D60580" w:rsidR="2A330E91" w:rsidRDefault="2D580204" w:rsidP="0461C051">
            <w:pPr>
              <w:rPr>
                <w:rFonts w:eastAsiaTheme="minorEastAsia"/>
                <w:color w:val="000000" w:themeColor="text1"/>
              </w:rPr>
            </w:pPr>
            <w:r w:rsidRPr="0461C051">
              <w:rPr>
                <w:rFonts w:eastAsiaTheme="minorEastAsia"/>
                <w:b/>
                <w:bCs/>
                <w:color w:val="000000" w:themeColor="text1"/>
              </w:rPr>
              <w:t>Bank statement requirements:</w:t>
            </w:r>
            <w:r w:rsidRPr="0461C051">
              <w:rPr>
                <w:rFonts w:eastAsiaTheme="minorEastAsia"/>
                <w:color w:val="000000" w:themeColor="text1"/>
              </w:rPr>
              <w:t xml:space="preserve"> a complete bank statement must be provided which shows:</w:t>
            </w:r>
          </w:p>
          <w:p w14:paraId="0FDED979" w14:textId="15DCCEFC" w:rsidR="2A330E91" w:rsidRDefault="2D580204" w:rsidP="0461C051">
            <w:pPr>
              <w:pStyle w:val="ListParagraph"/>
              <w:numPr>
                <w:ilvl w:val="0"/>
                <w:numId w:val="1"/>
              </w:numPr>
              <w:rPr>
                <w:rFonts w:eastAsiaTheme="minorEastAsia"/>
                <w:color w:val="000000" w:themeColor="text1"/>
              </w:rPr>
            </w:pPr>
            <w:r w:rsidRPr="0461C051">
              <w:rPr>
                <w:rFonts w:eastAsiaTheme="minorEastAsia"/>
                <w:color w:val="000000" w:themeColor="text1"/>
              </w:rPr>
              <w:t xml:space="preserve">the business </w:t>
            </w:r>
            <w:proofErr w:type="gramStart"/>
            <w:r w:rsidRPr="0461C051">
              <w:rPr>
                <w:rFonts w:eastAsiaTheme="minorEastAsia"/>
                <w:color w:val="000000" w:themeColor="text1"/>
              </w:rPr>
              <w:t>name</w:t>
            </w:r>
            <w:proofErr w:type="gramEnd"/>
          </w:p>
          <w:p w14:paraId="00B35197" w14:textId="58D21ED6" w:rsidR="2A330E91" w:rsidRDefault="2D580204" w:rsidP="0461C051">
            <w:pPr>
              <w:pStyle w:val="ListParagraph"/>
              <w:numPr>
                <w:ilvl w:val="0"/>
                <w:numId w:val="1"/>
              </w:numPr>
              <w:rPr>
                <w:rFonts w:eastAsiaTheme="minorEastAsia"/>
                <w:color w:val="000000" w:themeColor="text1"/>
              </w:rPr>
            </w:pPr>
            <w:r w:rsidRPr="0461C051">
              <w:rPr>
                <w:rFonts w:eastAsiaTheme="minorEastAsia"/>
                <w:color w:val="000000" w:themeColor="text1"/>
              </w:rPr>
              <w:t>sort code</w:t>
            </w:r>
          </w:p>
          <w:p w14:paraId="5B85EAD5" w14:textId="2A12A455" w:rsidR="2A330E91" w:rsidRDefault="2D580204" w:rsidP="0461C051">
            <w:pPr>
              <w:pStyle w:val="ListParagraph"/>
              <w:numPr>
                <w:ilvl w:val="0"/>
                <w:numId w:val="1"/>
              </w:numPr>
              <w:rPr>
                <w:rFonts w:eastAsiaTheme="minorEastAsia"/>
                <w:color w:val="000000" w:themeColor="text1"/>
              </w:rPr>
            </w:pPr>
            <w:r w:rsidRPr="0461C051">
              <w:rPr>
                <w:rFonts w:eastAsiaTheme="minorEastAsia"/>
                <w:color w:val="000000" w:themeColor="text1"/>
              </w:rPr>
              <w:t>account number</w:t>
            </w:r>
          </w:p>
          <w:p w14:paraId="4C5C49E6" w14:textId="16FACECF" w:rsidR="2A330E91" w:rsidRDefault="2D580204" w:rsidP="0461C051">
            <w:pPr>
              <w:pStyle w:val="ListParagraph"/>
              <w:numPr>
                <w:ilvl w:val="0"/>
                <w:numId w:val="1"/>
              </w:numPr>
              <w:rPr>
                <w:rFonts w:eastAsiaTheme="minorEastAsia"/>
                <w:color w:val="000000" w:themeColor="text1"/>
              </w:rPr>
            </w:pPr>
            <w:r w:rsidRPr="0461C051">
              <w:rPr>
                <w:rFonts w:eastAsiaTheme="minorEastAsia"/>
                <w:color w:val="000000" w:themeColor="text1"/>
              </w:rPr>
              <w:t>invoice being debited from the bank account (supplier name must be visible and amount must match)</w:t>
            </w:r>
          </w:p>
          <w:p w14:paraId="3C0D12D7" w14:textId="19CD91EC" w:rsidR="2A330E91" w:rsidRDefault="2D580204" w:rsidP="0461C051">
            <w:pPr>
              <w:pStyle w:val="ListParagraph"/>
              <w:numPr>
                <w:ilvl w:val="0"/>
                <w:numId w:val="1"/>
              </w:numPr>
              <w:rPr>
                <w:rFonts w:eastAsiaTheme="minorEastAsia"/>
                <w:color w:val="000000" w:themeColor="text1"/>
              </w:rPr>
            </w:pPr>
            <w:r w:rsidRPr="0461C051">
              <w:rPr>
                <w:rFonts w:eastAsiaTheme="minorEastAsia"/>
                <w:color w:val="000000" w:themeColor="text1"/>
              </w:rPr>
              <w:t xml:space="preserve">the statement </w:t>
            </w:r>
            <w:proofErr w:type="gramStart"/>
            <w:r w:rsidRPr="0461C051">
              <w:rPr>
                <w:rFonts w:eastAsiaTheme="minorEastAsia"/>
                <w:color w:val="000000" w:themeColor="text1"/>
              </w:rPr>
              <w:t>balance</w:t>
            </w:r>
            <w:proofErr w:type="gramEnd"/>
            <w:r w:rsidRPr="0461C051">
              <w:rPr>
                <w:rFonts w:eastAsiaTheme="minorEastAsia"/>
                <w:color w:val="000000" w:themeColor="text1"/>
              </w:rPr>
              <w:t xml:space="preserve"> the day before and after the payment is made, as this provides confirmation of defrayal</w:t>
            </w:r>
          </w:p>
          <w:p w14:paraId="059A006A" w14:textId="557E832E" w:rsidR="2A330E91" w:rsidRDefault="2A330E91" w:rsidP="0461C051">
            <w:pPr>
              <w:rPr>
                <w:rFonts w:eastAsiaTheme="minorEastAsia"/>
                <w:color w:val="000000" w:themeColor="text1"/>
              </w:rPr>
            </w:pPr>
          </w:p>
          <w:p w14:paraId="172F5E5D" w14:textId="45AC7D3A" w:rsidR="2A330E91" w:rsidRDefault="2D580204" w:rsidP="0461C051">
            <w:pPr>
              <w:rPr>
                <w:rFonts w:eastAsiaTheme="minorEastAsia"/>
              </w:rPr>
            </w:pPr>
            <w:r w:rsidRPr="08B56FC6">
              <w:rPr>
                <w:rFonts w:eastAsiaTheme="minorEastAsia"/>
                <w:b/>
                <w:bCs/>
                <w:color w:val="000000" w:themeColor="text1"/>
              </w:rPr>
              <w:t>Supplier invoices</w:t>
            </w:r>
            <w:r w:rsidRPr="08B56FC6">
              <w:rPr>
                <w:rFonts w:eastAsiaTheme="minorEastAsia"/>
                <w:color w:val="000000" w:themeColor="text1"/>
              </w:rPr>
              <w:t>: hand-written invoices or receipts suggesting payment has been received are not sufficient proof of payment. Formal invoices on the supplier’s headed paper must be provided accompanied by bank statement evidence.</w:t>
            </w:r>
          </w:p>
          <w:p w14:paraId="0A116EBF" w14:textId="4062F4C6" w:rsidR="08B56FC6" w:rsidRDefault="08B56FC6" w:rsidP="08B56FC6">
            <w:pPr>
              <w:rPr>
                <w:rFonts w:eastAsiaTheme="minorEastAsia"/>
                <w:color w:val="000000" w:themeColor="text1"/>
              </w:rPr>
            </w:pPr>
          </w:p>
          <w:p w14:paraId="6BB5F9C3" w14:textId="220EDFA5" w:rsidR="33838B77" w:rsidRPr="009E2054" w:rsidRDefault="33838B77" w:rsidP="08B56FC6">
            <w:pPr>
              <w:rPr>
                <w:rFonts w:eastAsiaTheme="minorEastAsia"/>
              </w:rPr>
            </w:pPr>
            <w:r w:rsidRPr="08B56FC6">
              <w:rPr>
                <w:rFonts w:eastAsiaTheme="minorEastAsia"/>
                <w:color w:val="000000" w:themeColor="text1"/>
              </w:rPr>
              <w:t xml:space="preserve">Once the installation has been completed, applicants will be required to submit further </w:t>
            </w:r>
            <w:r w:rsidR="24002912" w:rsidRPr="08B56FC6">
              <w:rPr>
                <w:rFonts w:eastAsiaTheme="minorEastAsia"/>
                <w:color w:val="000000" w:themeColor="text1"/>
              </w:rPr>
              <w:t xml:space="preserve">monitoring reports to ensure that the benefits of the project are realised. </w:t>
            </w:r>
            <w:r w:rsidR="24002912" w:rsidRPr="009E2054">
              <w:rPr>
                <w:rFonts w:eastAsiaTheme="minorEastAsia"/>
              </w:rPr>
              <w:t>Monitoring information will be required up to June 2025.</w:t>
            </w:r>
          </w:p>
          <w:p w14:paraId="757AC11A" w14:textId="4A371019" w:rsidR="2A330E91" w:rsidRDefault="2A330E91" w:rsidP="0461C051">
            <w:pPr>
              <w:rPr>
                <w:rFonts w:eastAsiaTheme="minorEastAsia"/>
                <w:color w:val="000000" w:themeColor="text1"/>
              </w:rPr>
            </w:pPr>
          </w:p>
        </w:tc>
      </w:tr>
      <w:tr w:rsidR="0461C051" w14:paraId="74A45038" w14:textId="77777777" w:rsidTr="3199E62B">
        <w:trPr>
          <w:trHeight w:val="300"/>
        </w:trPr>
        <w:tc>
          <w:tcPr>
            <w:tcW w:w="1913" w:type="dxa"/>
          </w:tcPr>
          <w:p w14:paraId="6855CAEC" w14:textId="467B8EC1" w:rsidR="23FE2D8D" w:rsidRDefault="23FE2D8D" w:rsidP="0461C051">
            <w:pPr>
              <w:rPr>
                <w:b/>
                <w:bCs/>
              </w:rPr>
            </w:pPr>
            <w:r w:rsidRPr="0461C051">
              <w:rPr>
                <w:b/>
                <w:bCs/>
              </w:rPr>
              <w:t>Other considerations</w:t>
            </w:r>
          </w:p>
        </w:tc>
        <w:tc>
          <w:tcPr>
            <w:tcW w:w="7103" w:type="dxa"/>
          </w:tcPr>
          <w:p w14:paraId="47C39897" w14:textId="103AAC74" w:rsidR="23FE2D8D" w:rsidRPr="009E2054" w:rsidRDefault="009E2054" w:rsidP="0461C051">
            <w:pPr>
              <w:rPr>
                <w:rFonts w:eastAsiaTheme="minorEastAsia"/>
              </w:rPr>
            </w:pPr>
            <w:r w:rsidRPr="009E2054">
              <w:rPr>
                <w:rFonts w:eastAsiaTheme="minorEastAsia"/>
              </w:rPr>
              <w:t>All applications will be subject to a subsidy control assessment prior to award.</w:t>
            </w:r>
          </w:p>
          <w:p w14:paraId="5ECBCDFC" w14:textId="020BFC35" w:rsidR="659D812F" w:rsidRPr="009E2054" w:rsidRDefault="659D812F" w:rsidP="08B56FC6">
            <w:pPr>
              <w:rPr>
                <w:rFonts w:eastAsiaTheme="minorEastAsia"/>
              </w:rPr>
            </w:pPr>
          </w:p>
        </w:tc>
      </w:tr>
    </w:tbl>
    <w:p w14:paraId="5704A630" w14:textId="4B5C3891" w:rsidR="00004981" w:rsidRDefault="00004981"/>
    <w:sectPr w:rsidR="00004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C3B"/>
    <w:multiLevelType w:val="multilevel"/>
    <w:tmpl w:val="3AE4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A6838"/>
    <w:multiLevelType w:val="multilevel"/>
    <w:tmpl w:val="105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74F8CC"/>
    <w:multiLevelType w:val="hybridMultilevel"/>
    <w:tmpl w:val="4B94B9F6"/>
    <w:lvl w:ilvl="0" w:tplc="8ED2869A">
      <w:start w:val="1"/>
      <w:numFmt w:val="bullet"/>
      <w:lvlText w:val=""/>
      <w:lvlJc w:val="left"/>
      <w:pPr>
        <w:ind w:left="720" w:hanging="360"/>
      </w:pPr>
      <w:rPr>
        <w:rFonts w:ascii="Symbol" w:hAnsi="Symbol" w:hint="default"/>
      </w:rPr>
    </w:lvl>
    <w:lvl w:ilvl="1" w:tplc="21227210">
      <w:start w:val="1"/>
      <w:numFmt w:val="bullet"/>
      <w:lvlText w:val="o"/>
      <w:lvlJc w:val="left"/>
      <w:pPr>
        <w:ind w:left="1440" w:hanging="360"/>
      </w:pPr>
      <w:rPr>
        <w:rFonts w:ascii="Courier New" w:hAnsi="Courier New" w:hint="default"/>
      </w:rPr>
    </w:lvl>
    <w:lvl w:ilvl="2" w:tplc="2B1E69A4">
      <w:start w:val="1"/>
      <w:numFmt w:val="bullet"/>
      <w:lvlText w:val=""/>
      <w:lvlJc w:val="left"/>
      <w:pPr>
        <w:ind w:left="2160" w:hanging="360"/>
      </w:pPr>
      <w:rPr>
        <w:rFonts w:ascii="Wingdings" w:hAnsi="Wingdings" w:hint="default"/>
      </w:rPr>
    </w:lvl>
    <w:lvl w:ilvl="3" w:tplc="102602EC">
      <w:start w:val="1"/>
      <w:numFmt w:val="bullet"/>
      <w:lvlText w:val=""/>
      <w:lvlJc w:val="left"/>
      <w:pPr>
        <w:ind w:left="2880" w:hanging="360"/>
      </w:pPr>
      <w:rPr>
        <w:rFonts w:ascii="Symbol" w:hAnsi="Symbol" w:hint="default"/>
      </w:rPr>
    </w:lvl>
    <w:lvl w:ilvl="4" w:tplc="9B6CECC0">
      <w:start w:val="1"/>
      <w:numFmt w:val="bullet"/>
      <w:lvlText w:val="o"/>
      <w:lvlJc w:val="left"/>
      <w:pPr>
        <w:ind w:left="3600" w:hanging="360"/>
      </w:pPr>
      <w:rPr>
        <w:rFonts w:ascii="Courier New" w:hAnsi="Courier New" w:hint="default"/>
      </w:rPr>
    </w:lvl>
    <w:lvl w:ilvl="5" w:tplc="29B8C5A4">
      <w:start w:val="1"/>
      <w:numFmt w:val="bullet"/>
      <w:lvlText w:val=""/>
      <w:lvlJc w:val="left"/>
      <w:pPr>
        <w:ind w:left="4320" w:hanging="360"/>
      </w:pPr>
      <w:rPr>
        <w:rFonts w:ascii="Wingdings" w:hAnsi="Wingdings" w:hint="default"/>
      </w:rPr>
    </w:lvl>
    <w:lvl w:ilvl="6" w:tplc="C0389E52">
      <w:start w:val="1"/>
      <w:numFmt w:val="bullet"/>
      <w:lvlText w:val=""/>
      <w:lvlJc w:val="left"/>
      <w:pPr>
        <w:ind w:left="5040" w:hanging="360"/>
      </w:pPr>
      <w:rPr>
        <w:rFonts w:ascii="Symbol" w:hAnsi="Symbol" w:hint="default"/>
      </w:rPr>
    </w:lvl>
    <w:lvl w:ilvl="7" w:tplc="551C8F5C">
      <w:start w:val="1"/>
      <w:numFmt w:val="bullet"/>
      <w:lvlText w:val="o"/>
      <w:lvlJc w:val="left"/>
      <w:pPr>
        <w:ind w:left="5760" w:hanging="360"/>
      </w:pPr>
      <w:rPr>
        <w:rFonts w:ascii="Courier New" w:hAnsi="Courier New" w:hint="default"/>
      </w:rPr>
    </w:lvl>
    <w:lvl w:ilvl="8" w:tplc="23C47A6A">
      <w:start w:val="1"/>
      <w:numFmt w:val="bullet"/>
      <w:lvlText w:val=""/>
      <w:lvlJc w:val="left"/>
      <w:pPr>
        <w:ind w:left="6480" w:hanging="360"/>
      </w:pPr>
      <w:rPr>
        <w:rFonts w:ascii="Wingdings" w:hAnsi="Wingdings" w:hint="default"/>
      </w:rPr>
    </w:lvl>
  </w:abstractNum>
  <w:abstractNum w:abstractNumId="3" w15:restartNumberingAfterBreak="0">
    <w:nsid w:val="60991700"/>
    <w:multiLevelType w:val="hybridMultilevel"/>
    <w:tmpl w:val="1C3C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657A9"/>
    <w:multiLevelType w:val="hybridMultilevel"/>
    <w:tmpl w:val="48D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F21EC"/>
    <w:multiLevelType w:val="hybridMultilevel"/>
    <w:tmpl w:val="5476B29C"/>
    <w:lvl w:ilvl="0" w:tplc="AB1266C0">
      <w:start w:val="1"/>
      <w:numFmt w:val="bullet"/>
      <w:lvlText w:val=""/>
      <w:lvlJc w:val="left"/>
      <w:pPr>
        <w:ind w:left="720" w:hanging="360"/>
      </w:pPr>
      <w:rPr>
        <w:rFonts w:ascii="Symbol" w:hAnsi="Symbol" w:hint="default"/>
      </w:rPr>
    </w:lvl>
    <w:lvl w:ilvl="1" w:tplc="2CD66EB6">
      <w:start w:val="1"/>
      <w:numFmt w:val="bullet"/>
      <w:lvlText w:val="o"/>
      <w:lvlJc w:val="left"/>
      <w:pPr>
        <w:ind w:left="1440" w:hanging="360"/>
      </w:pPr>
      <w:rPr>
        <w:rFonts w:ascii="Courier New" w:hAnsi="Courier New" w:hint="default"/>
      </w:rPr>
    </w:lvl>
    <w:lvl w:ilvl="2" w:tplc="D35E7124">
      <w:start w:val="1"/>
      <w:numFmt w:val="bullet"/>
      <w:lvlText w:val=""/>
      <w:lvlJc w:val="left"/>
      <w:pPr>
        <w:ind w:left="2160" w:hanging="360"/>
      </w:pPr>
      <w:rPr>
        <w:rFonts w:ascii="Wingdings" w:hAnsi="Wingdings" w:hint="default"/>
      </w:rPr>
    </w:lvl>
    <w:lvl w:ilvl="3" w:tplc="13E494BE">
      <w:start w:val="1"/>
      <w:numFmt w:val="bullet"/>
      <w:lvlText w:val=""/>
      <w:lvlJc w:val="left"/>
      <w:pPr>
        <w:ind w:left="2880" w:hanging="360"/>
      </w:pPr>
      <w:rPr>
        <w:rFonts w:ascii="Symbol" w:hAnsi="Symbol" w:hint="default"/>
      </w:rPr>
    </w:lvl>
    <w:lvl w:ilvl="4" w:tplc="A9C6C56A">
      <w:start w:val="1"/>
      <w:numFmt w:val="bullet"/>
      <w:lvlText w:val="o"/>
      <w:lvlJc w:val="left"/>
      <w:pPr>
        <w:ind w:left="3600" w:hanging="360"/>
      </w:pPr>
      <w:rPr>
        <w:rFonts w:ascii="Courier New" w:hAnsi="Courier New" w:hint="default"/>
      </w:rPr>
    </w:lvl>
    <w:lvl w:ilvl="5" w:tplc="0DEA4778">
      <w:start w:val="1"/>
      <w:numFmt w:val="bullet"/>
      <w:lvlText w:val=""/>
      <w:lvlJc w:val="left"/>
      <w:pPr>
        <w:ind w:left="4320" w:hanging="360"/>
      </w:pPr>
      <w:rPr>
        <w:rFonts w:ascii="Wingdings" w:hAnsi="Wingdings" w:hint="default"/>
      </w:rPr>
    </w:lvl>
    <w:lvl w:ilvl="6" w:tplc="2916BD3E">
      <w:start w:val="1"/>
      <w:numFmt w:val="bullet"/>
      <w:lvlText w:val=""/>
      <w:lvlJc w:val="left"/>
      <w:pPr>
        <w:ind w:left="5040" w:hanging="360"/>
      </w:pPr>
      <w:rPr>
        <w:rFonts w:ascii="Symbol" w:hAnsi="Symbol" w:hint="default"/>
      </w:rPr>
    </w:lvl>
    <w:lvl w:ilvl="7" w:tplc="7214E6E8">
      <w:start w:val="1"/>
      <w:numFmt w:val="bullet"/>
      <w:lvlText w:val="o"/>
      <w:lvlJc w:val="left"/>
      <w:pPr>
        <w:ind w:left="5760" w:hanging="360"/>
      </w:pPr>
      <w:rPr>
        <w:rFonts w:ascii="Courier New" w:hAnsi="Courier New" w:hint="default"/>
      </w:rPr>
    </w:lvl>
    <w:lvl w:ilvl="8" w:tplc="E81C3814">
      <w:start w:val="1"/>
      <w:numFmt w:val="bullet"/>
      <w:lvlText w:val=""/>
      <w:lvlJc w:val="left"/>
      <w:pPr>
        <w:ind w:left="6480" w:hanging="360"/>
      </w:pPr>
      <w:rPr>
        <w:rFonts w:ascii="Wingdings" w:hAnsi="Wingdings" w:hint="default"/>
      </w:rPr>
    </w:lvl>
  </w:abstractNum>
  <w:num w:numId="1" w16cid:durableId="73279540">
    <w:abstractNumId w:val="5"/>
  </w:num>
  <w:num w:numId="2" w16cid:durableId="2011247335">
    <w:abstractNumId w:val="2"/>
  </w:num>
  <w:num w:numId="3" w16cid:durableId="346834449">
    <w:abstractNumId w:val="1"/>
  </w:num>
  <w:num w:numId="4" w16cid:durableId="1872766622">
    <w:abstractNumId w:val="0"/>
  </w:num>
  <w:num w:numId="5" w16cid:durableId="461659344">
    <w:abstractNumId w:val="4"/>
  </w:num>
  <w:num w:numId="6" w16cid:durableId="242418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C2"/>
    <w:rsid w:val="00004981"/>
    <w:rsid w:val="00006695"/>
    <w:rsid w:val="000408B7"/>
    <w:rsid w:val="000D7A1C"/>
    <w:rsid w:val="000F0046"/>
    <w:rsid w:val="00112886"/>
    <w:rsid w:val="00145737"/>
    <w:rsid w:val="001660AB"/>
    <w:rsid w:val="00194DAF"/>
    <w:rsid w:val="002241B3"/>
    <w:rsid w:val="00232C8C"/>
    <w:rsid w:val="00251AF0"/>
    <w:rsid w:val="002A216A"/>
    <w:rsid w:val="00407F25"/>
    <w:rsid w:val="004A63F0"/>
    <w:rsid w:val="004E7F39"/>
    <w:rsid w:val="00557C3A"/>
    <w:rsid w:val="005E63A4"/>
    <w:rsid w:val="00671C62"/>
    <w:rsid w:val="00685E80"/>
    <w:rsid w:val="006FB311"/>
    <w:rsid w:val="00712D18"/>
    <w:rsid w:val="00713CA6"/>
    <w:rsid w:val="007E3D6C"/>
    <w:rsid w:val="008057F7"/>
    <w:rsid w:val="00866590"/>
    <w:rsid w:val="008E6E43"/>
    <w:rsid w:val="009D578D"/>
    <w:rsid w:val="009E2054"/>
    <w:rsid w:val="009F07EA"/>
    <w:rsid w:val="00A259C2"/>
    <w:rsid w:val="00A461C7"/>
    <w:rsid w:val="00A5722B"/>
    <w:rsid w:val="00AB5909"/>
    <w:rsid w:val="00ABFDE8"/>
    <w:rsid w:val="00B32125"/>
    <w:rsid w:val="00BE1E97"/>
    <w:rsid w:val="00C20C47"/>
    <w:rsid w:val="00C72C10"/>
    <w:rsid w:val="00C8170B"/>
    <w:rsid w:val="00CD05B7"/>
    <w:rsid w:val="00D02F7C"/>
    <w:rsid w:val="00D2690B"/>
    <w:rsid w:val="00D502DC"/>
    <w:rsid w:val="00D52F8C"/>
    <w:rsid w:val="00DA37AA"/>
    <w:rsid w:val="00DA5DA7"/>
    <w:rsid w:val="00E14727"/>
    <w:rsid w:val="00E24F51"/>
    <w:rsid w:val="00E77E19"/>
    <w:rsid w:val="00EE7D0D"/>
    <w:rsid w:val="00EF20D5"/>
    <w:rsid w:val="00F12256"/>
    <w:rsid w:val="00F2514A"/>
    <w:rsid w:val="00F760C3"/>
    <w:rsid w:val="020EE6EF"/>
    <w:rsid w:val="02C5EFF0"/>
    <w:rsid w:val="036E90FC"/>
    <w:rsid w:val="0461C051"/>
    <w:rsid w:val="04924138"/>
    <w:rsid w:val="0601C895"/>
    <w:rsid w:val="06ACDA95"/>
    <w:rsid w:val="07B93540"/>
    <w:rsid w:val="0887D6B7"/>
    <w:rsid w:val="08B56FC6"/>
    <w:rsid w:val="095505A1"/>
    <w:rsid w:val="0973C789"/>
    <w:rsid w:val="097C280F"/>
    <w:rsid w:val="09EB99F2"/>
    <w:rsid w:val="09FDB878"/>
    <w:rsid w:val="0A79EFAE"/>
    <w:rsid w:val="0AED5723"/>
    <w:rsid w:val="0B09FE5F"/>
    <w:rsid w:val="0C123D13"/>
    <w:rsid w:val="0CE90C3D"/>
    <w:rsid w:val="0E69EE01"/>
    <w:rsid w:val="0EE52702"/>
    <w:rsid w:val="0F0A051F"/>
    <w:rsid w:val="0F3D83EF"/>
    <w:rsid w:val="0F8E07FC"/>
    <w:rsid w:val="0FC44725"/>
    <w:rsid w:val="10A5D580"/>
    <w:rsid w:val="10BAEADE"/>
    <w:rsid w:val="11BBE89A"/>
    <w:rsid w:val="127210E2"/>
    <w:rsid w:val="127C00EC"/>
    <w:rsid w:val="14A0E1B4"/>
    <w:rsid w:val="14E84D69"/>
    <w:rsid w:val="17D4F295"/>
    <w:rsid w:val="18D5211D"/>
    <w:rsid w:val="19C52DD4"/>
    <w:rsid w:val="1A70F17E"/>
    <w:rsid w:val="1AD8B49B"/>
    <w:rsid w:val="1B0C9357"/>
    <w:rsid w:val="1BB0D53E"/>
    <w:rsid w:val="1C0B9880"/>
    <w:rsid w:val="1C629A73"/>
    <w:rsid w:val="1D327655"/>
    <w:rsid w:val="1D6B302B"/>
    <w:rsid w:val="1DA89240"/>
    <w:rsid w:val="1DF55B72"/>
    <w:rsid w:val="1E0631A2"/>
    <w:rsid w:val="1E3CB432"/>
    <w:rsid w:val="1E688967"/>
    <w:rsid w:val="1F4462A1"/>
    <w:rsid w:val="1F9E2FBE"/>
    <w:rsid w:val="20C5A624"/>
    <w:rsid w:val="20ED0F03"/>
    <w:rsid w:val="23A80DB0"/>
    <w:rsid w:val="23B5C65A"/>
    <w:rsid w:val="23FE2D8D"/>
    <w:rsid w:val="24002912"/>
    <w:rsid w:val="25162B81"/>
    <w:rsid w:val="2605E29C"/>
    <w:rsid w:val="26AD6B01"/>
    <w:rsid w:val="26CE4555"/>
    <w:rsid w:val="27CF6EE6"/>
    <w:rsid w:val="27F303E5"/>
    <w:rsid w:val="27FB646B"/>
    <w:rsid w:val="2A330E91"/>
    <w:rsid w:val="2A618156"/>
    <w:rsid w:val="2B6E97F7"/>
    <w:rsid w:val="2BFFA5B2"/>
    <w:rsid w:val="2C02DF9D"/>
    <w:rsid w:val="2C675CAE"/>
    <w:rsid w:val="2CB27E95"/>
    <w:rsid w:val="2D580204"/>
    <w:rsid w:val="2D5AB4B5"/>
    <w:rsid w:val="2E6BAF36"/>
    <w:rsid w:val="2F1B3CD5"/>
    <w:rsid w:val="30352101"/>
    <w:rsid w:val="3077625F"/>
    <w:rsid w:val="30D316D5"/>
    <w:rsid w:val="3199E62B"/>
    <w:rsid w:val="326EE736"/>
    <w:rsid w:val="32E465A4"/>
    <w:rsid w:val="33431530"/>
    <w:rsid w:val="33489F60"/>
    <w:rsid w:val="334A1DEC"/>
    <w:rsid w:val="336CC7F0"/>
    <w:rsid w:val="33774BEA"/>
    <w:rsid w:val="33838B77"/>
    <w:rsid w:val="3385E509"/>
    <w:rsid w:val="3432DE0A"/>
    <w:rsid w:val="345F004A"/>
    <w:rsid w:val="34A68531"/>
    <w:rsid w:val="3506F21D"/>
    <w:rsid w:val="354AD382"/>
    <w:rsid w:val="36B6AD79"/>
    <w:rsid w:val="374D23CE"/>
    <w:rsid w:val="38794046"/>
    <w:rsid w:val="388CFC18"/>
    <w:rsid w:val="38CFCBD2"/>
    <w:rsid w:val="39763737"/>
    <w:rsid w:val="3A79F91B"/>
    <w:rsid w:val="3B65B607"/>
    <w:rsid w:val="3E0DFFB7"/>
    <w:rsid w:val="3E2F05D1"/>
    <w:rsid w:val="3F4D6A3E"/>
    <w:rsid w:val="3FA9D018"/>
    <w:rsid w:val="3FCAD632"/>
    <w:rsid w:val="40C00493"/>
    <w:rsid w:val="4166A693"/>
    <w:rsid w:val="418187D4"/>
    <w:rsid w:val="4181E11B"/>
    <w:rsid w:val="442674EC"/>
    <w:rsid w:val="44DBA1CA"/>
    <w:rsid w:val="44EFF3C8"/>
    <w:rsid w:val="45333EEE"/>
    <w:rsid w:val="463A91A2"/>
    <w:rsid w:val="468511C0"/>
    <w:rsid w:val="475E15AE"/>
    <w:rsid w:val="47F2F9B4"/>
    <w:rsid w:val="4800ECA7"/>
    <w:rsid w:val="483316B9"/>
    <w:rsid w:val="48F4D9C8"/>
    <w:rsid w:val="492F513F"/>
    <w:rsid w:val="49FA3767"/>
    <w:rsid w:val="4A48624E"/>
    <w:rsid w:val="4A9F577E"/>
    <w:rsid w:val="4D0B2704"/>
    <w:rsid w:val="4D8A0C33"/>
    <w:rsid w:val="4DD55DF6"/>
    <w:rsid w:val="4E9ED95E"/>
    <w:rsid w:val="4EE84B4B"/>
    <w:rsid w:val="4F538F17"/>
    <w:rsid w:val="50CD4CDA"/>
    <w:rsid w:val="513F1939"/>
    <w:rsid w:val="53862E79"/>
    <w:rsid w:val="54224575"/>
    <w:rsid w:val="54308FC9"/>
    <w:rsid w:val="54A1554A"/>
    <w:rsid w:val="54F2C48E"/>
    <w:rsid w:val="5517334C"/>
    <w:rsid w:val="55CC602A"/>
    <w:rsid w:val="55F4ABEA"/>
    <w:rsid w:val="57571EDD"/>
    <w:rsid w:val="5759E637"/>
    <w:rsid w:val="58219D9D"/>
    <w:rsid w:val="595D0DD1"/>
    <w:rsid w:val="5976A16B"/>
    <w:rsid w:val="5A55BA6F"/>
    <w:rsid w:val="5AFF7D2E"/>
    <w:rsid w:val="5B30D2FB"/>
    <w:rsid w:val="5B4ED579"/>
    <w:rsid w:val="5C227951"/>
    <w:rsid w:val="5C87BDEA"/>
    <w:rsid w:val="5CC8E4B6"/>
    <w:rsid w:val="5D66B34E"/>
    <w:rsid w:val="5DBE49B2"/>
    <w:rsid w:val="5DF0E949"/>
    <w:rsid w:val="5E723148"/>
    <w:rsid w:val="5EACF50F"/>
    <w:rsid w:val="5ED4F95A"/>
    <w:rsid w:val="5F93169D"/>
    <w:rsid w:val="5FC225A9"/>
    <w:rsid w:val="61F1BE44"/>
    <w:rsid w:val="61F7E50D"/>
    <w:rsid w:val="6226218D"/>
    <w:rsid w:val="622F153B"/>
    <w:rsid w:val="637AB253"/>
    <w:rsid w:val="659D812F"/>
    <w:rsid w:val="66025821"/>
    <w:rsid w:val="6612BD3A"/>
    <w:rsid w:val="66CB7B72"/>
    <w:rsid w:val="67652BF8"/>
    <w:rsid w:val="678091CF"/>
    <w:rsid w:val="67AE8D9B"/>
    <w:rsid w:val="68161F31"/>
    <w:rsid w:val="68C3A1E4"/>
    <w:rsid w:val="68FE1E6A"/>
    <w:rsid w:val="69FECD06"/>
    <w:rsid w:val="6A031C34"/>
    <w:rsid w:val="6A5F7245"/>
    <w:rsid w:val="6A5F820E"/>
    <w:rsid w:val="6A82FF28"/>
    <w:rsid w:val="6A9CCCBA"/>
    <w:rsid w:val="6B3E0169"/>
    <w:rsid w:val="6BA22622"/>
    <w:rsid w:val="6C389D1B"/>
    <w:rsid w:val="6C408AA1"/>
    <w:rsid w:val="6C4E7577"/>
    <w:rsid w:val="6C65E391"/>
    <w:rsid w:val="6C8653C4"/>
    <w:rsid w:val="6D3112A7"/>
    <w:rsid w:val="6E1422B3"/>
    <w:rsid w:val="6E1F6F26"/>
    <w:rsid w:val="6F32F331"/>
    <w:rsid w:val="6F782B63"/>
    <w:rsid w:val="710AE3AA"/>
    <w:rsid w:val="71B4AF4A"/>
    <w:rsid w:val="7428E49A"/>
    <w:rsid w:val="747CAB8A"/>
    <w:rsid w:val="74817BAC"/>
    <w:rsid w:val="756A4D88"/>
    <w:rsid w:val="75AA1272"/>
    <w:rsid w:val="76CE106A"/>
    <w:rsid w:val="76FC4ED4"/>
    <w:rsid w:val="77BBE36B"/>
    <w:rsid w:val="77E46045"/>
    <w:rsid w:val="791F0DA9"/>
    <w:rsid w:val="79974BA1"/>
    <w:rsid w:val="7B04C662"/>
    <w:rsid w:val="7B30DAE9"/>
    <w:rsid w:val="7C2D25E3"/>
    <w:rsid w:val="7D354B51"/>
    <w:rsid w:val="7E635FC7"/>
    <w:rsid w:val="7EBFF9F2"/>
    <w:rsid w:val="7EF69E76"/>
    <w:rsid w:val="7F828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1B65"/>
  <w15:chartTrackingRefBased/>
  <w15:docId w15:val="{E2F8BC1D-F7B9-4F70-A31C-A5826AA5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E19"/>
    <w:rPr>
      <w:color w:val="0563C1" w:themeColor="hyperlink"/>
      <w:u w:val="single"/>
    </w:rPr>
  </w:style>
  <w:style w:type="character" w:styleId="UnresolvedMention">
    <w:name w:val="Unresolved Mention"/>
    <w:basedOn w:val="DefaultParagraphFont"/>
    <w:uiPriority w:val="99"/>
    <w:semiHidden/>
    <w:unhideWhenUsed/>
    <w:rsid w:val="00E77E19"/>
    <w:rPr>
      <w:color w:val="605E5C"/>
      <w:shd w:val="clear" w:color="auto" w:fill="E1DFDD"/>
    </w:rPr>
  </w:style>
  <w:style w:type="paragraph" w:styleId="ListParagraph">
    <w:name w:val="List Paragraph"/>
    <w:basedOn w:val="Normal"/>
    <w:uiPriority w:val="34"/>
    <w:qFormat/>
    <w:rsid w:val="008E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5286">
      <w:bodyDiv w:val="1"/>
      <w:marLeft w:val="0"/>
      <w:marRight w:val="0"/>
      <w:marTop w:val="0"/>
      <w:marBottom w:val="0"/>
      <w:divBdr>
        <w:top w:val="none" w:sz="0" w:space="0" w:color="auto"/>
        <w:left w:val="none" w:sz="0" w:space="0" w:color="auto"/>
        <w:bottom w:val="none" w:sz="0" w:space="0" w:color="auto"/>
        <w:right w:val="none" w:sz="0" w:space="0" w:color="auto"/>
      </w:divBdr>
    </w:div>
    <w:div w:id="20592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otlandsuperfast.com/vouchers/about-sbv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gabitvoucher.culture.gov.uk/" TargetMode="External"/><Relationship Id="rId17" Type="http://schemas.openxmlformats.org/officeDocument/2006/relationships/hyperlink" Target="mailto:uksharedprosperityfund@northlan.gov.uk" TargetMode="External"/><Relationship Id="rId2" Type="http://schemas.openxmlformats.org/officeDocument/2006/relationships/customXml" Target="../customXml/item2.xml"/><Relationship Id="rId16" Type="http://schemas.openxmlformats.org/officeDocument/2006/relationships/hyperlink" Target="mailto:uksharedprosperityfund@northla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northlanarkshire.gov.uk/sites/default/files/2022-11/digital%20and%20IT%20strategy%202022%20annual%20refresh%20accessible.pdf" TargetMode="External"/><Relationship Id="rId5" Type="http://schemas.openxmlformats.org/officeDocument/2006/relationships/customXml" Target="../customXml/item5.xml"/><Relationship Id="rId15" Type="http://schemas.openxmlformats.org/officeDocument/2006/relationships/hyperlink" Target="https://www.scotlandsuperfast.com/r100-programme/check-my-addres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igabitvoucher.culture.gov.uk/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754596489C88B849A8CE401493342924" ma:contentTypeVersion="13" ma:contentTypeDescription="" ma:contentTypeScope="" ma:versionID="a2d699c7e6dc70466bc54d11f5f80f96">
  <xsd:schema xmlns:xsd="http://www.w3.org/2001/XMLSchema" xmlns:xs="http://www.w3.org/2001/XMLSchema" xmlns:p="http://schemas.microsoft.com/office/2006/metadata/properties" xmlns:ns2="8f05d3e4-0582-485c-9ba6-ab26e7804d1a" xmlns:ns3="719ca280-4173-4adf-94a1-527674a23a40" xmlns:ns4="f145fc97-5741-4dd8-86a3-8f63745f9958" targetNamespace="http://schemas.microsoft.com/office/2006/metadata/properties" ma:root="true" ma:fieldsID="b50908ce733bd6cfa06b8c0f4f368639" ns2:_="" ns3:_="" ns4:_="">
    <xsd:import namespace="8f05d3e4-0582-485c-9ba6-ab26e7804d1a"/>
    <xsd:import namespace="719ca280-4173-4adf-94a1-527674a23a40"/>
    <xsd:import namespace="f145fc97-5741-4dd8-86a3-8f63745f9958"/>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3:_dlc_DocId" minOccurs="0"/>
                <xsd:element ref="ns3:_dlc_DocIdUrl" minOccurs="0"/>
                <xsd:element ref="ns3:_dlc_DocIdPersistId" minOccurs="0"/>
                <xsd:element ref="ns3:i0f84bba906045b4af568ee102a52dcb" minOccurs="0"/>
                <xsd:element ref="ns4:lcf76f155ced4ddcb4097134ff3c332f" minOccurs="0"/>
                <xsd:element ref="ns4:MediaServiceGenerationTime" minOccurs="0"/>
                <xsd:element ref="ns4:MediaServiceEventHashCode"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8862808-e8d6-4d4e-a294-77e7570fb9a9}" ma:internalName="TaxCatchAll" ma:showField="CatchAllData" ma:web="719ca280-4173-4adf-94a1-527674a23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862808-e8d6-4d4e-a294-77e7570fb9a9}" ma:internalName="TaxCatchAllLabel" ma:readOnly="true" ma:showField="CatchAllDataLabel" ma:web="719ca280-4173-4adf-94a1-527674a23a40">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Enterprise and Communities|c4dcab27-3585-4606-92db-01a112d6829d"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9ca280-4173-4adf-94a1-527674a23a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0f84bba906045b4af568ee102a52dcb" ma:index="21" nillable="true" ma:taxonomy="true" ma:internalName="i0f84bba906045b4af568ee102a52dcb" ma:taxonomyFieldName="RevIMBCS" ma:displayName="Retention Term" ma:indexed="true" ma:default="1;#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5fc97-5741-4dd8-86a3-8f63745f9958"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2085efe-fbee-4112-b17b-61a14ccdd7b6" ma:termSetId="09814cd3-568e-fe90-9814-8d621ff8fb84" ma:anchorId="fba54fb3-c3e1-fe81-a776-ca4b69148c4d" ma:open="true" ma:isKeyword="false">
      <xsd:complexType>
        <xsd:sequence>
          <xsd:element ref="pc:Terms" minOccurs="0" maxOccurs="1"/>
        </xsd:sequence>
      </xsd:complex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l2266dbc3b614dbe9f077e23aad38986>
    <TaxCatchAll xmlns="8f05d3e4-0582-485c-9ba6-ab26e7804d1a">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lcf76f155ced4ddcb4097134ff3c332f xmlns="f145fc97-5741-4dd8-86a3-8f63745f9958">
      <Terms xmlns="http://schemas.microsoft.com/office/infopath/2007/PartnerControls"/>
    </lcf76f155ced4ddcb4097134ff3c332f>
    <i0f84bba906045b4af568ee102a52dcb xmlns="719ca280-4173-4adf-94a1-527674a23a4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_dlc_DocId xmlns="719ca280-4173-4adf-94a1-527674a23a40">NLC--109352098-352</_dlc_DocId>
    <_dlc_DocIdUrl xmlns="719ca280-4173-4adf-94a1-527674a23a40">
      <Url>https://nlcgov.sharepoint.com/sites/ECO-UKSHAREDPROSPERITYFUND/_layouts/15/DocIdRedir.aspx?ID=NLC--109352098-352</Url>
      <Description>NLC--109352098-352</Description>
    </_dlc_DocIdUrl>
  </documentManagement>
</p:properties>
</file>

<file path=customXml/itemProps1.xml><?xml version="1.0" encoding="utf-8"?>
<ds:datastoreItem xmlns:ds="http://schemas.openxmlformats.org/officeDocument/2006/customXml" ds:itemID="{71B4EE2E-8AB7-4D84-AEB4-AF278207C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719ca280-4173-4adf-94a1-527674a23a40"/>
    <ds:schemaRef ds:uri="f145fc97-5741-4dd8-86a3-8f63745f9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48090-AB41-46D3-BD2E-932A46C1A00D}">
  <ds:schemaRefs>
    <ds:schemaRef ds:uri="http://schemas.microsoft.com/sharepoint/events"/>
  </ds:schemaRefs>
</ds:datastoreItem>
</file>

<file path=customXml/itemProps3.xml><?xml version="1.0" encoding="utf-8"?>
<ds:datastoreItem xmlns:ds="http://schemas.openxmlformats.org/officeDocument/2006/customXml" ds:itemID="{7E6AA504-BEF9-48C5-B637-A93F8E6A1D03}">
  <ds:schemaRefs>
    <ds:schemaRef ds:uri="Microsoft.SharePoint.Taxonomy.ContentTypeSync"/>
  </ds:schemaRefs>
</ds:datastoreItem>
</file>

<file path=customXml/itemProps4.xml><?xml version="1.0" encoding="utf-8"?>
<ds:datastoreItem xmlns:ds="http://schemas.openxmlformats.org/officeDocument/2006/customXml" ds:itemID="{9C8AEDC3-CA96-43B6-84B6-E151360DDF8A}">
  <ds:schemaRefs>
    <ds:schemaRef ds:uri="http://schemas.microsoft.com/sharepoint/v3/contenttype/forms"/>
  </ds:schemaRefs>
</ds:datastoreItem>
</file>

<file path=customXml/itemProps5.xml><?xml version="1.0" encoding="utf-8"?>
<ds:datastoreItem xmlns:ds="http://schemas.openxmlformats.org/officeDocument/2006/customXml" ds:itemID="{E9F2239A-5523-4B35-B936-A2645DADC61B}">
  <ds:schemaRefs>
    <ds:schemaRef ds:uri="f145fc97-5741-4dd8-86a3-8f63745f9958"/>
    <ds:schemaRef ds:uri="http://purl.org/dc/dcmitype/"/>
    <ds:schemaRef ds:uri="http://schemas.microsoft.com/office/2006/documentManagement/types"/>
    <ds:schemaRef ds:uri="8f05d3e4-0582-485c-9ba6-ab26e7804d1a"/>
    <ds:schemaRef ds:uri="http://purl.org/dc/terms/"/>
    <ds:schemaRef ds:uri="719ca280-4173-4adf-94a1-527674a23a4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8646</Characters>
  <Application>Microsoft Office Word</Application>
  <DocSecurity>0</DocSecurity>
  <Lines>72</Lines>
  <Paragraphs>20</Paragraphs>
  <ScaleCrop>false</ScaleCrop>
  <Company>North Lanarkshire Council</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Douglas</dc:creator>
  <cp:keywords/>
  <dc:description/>
  <cp:lastModifiedBy>Laura McInally</cp:lastModifiedBy>
  <cp:revision>2</cp:revision>
  <cp:lastPrinted>2024-01-09T13:49:00Z</cp:lastPrinted>
  <dcterms:created xsi:type="dcterms:W3CDTF">2024-01-09T13:49:00Z</dcterms:created>
  <dcterms:modified xsi:type="dcterms:W3CDTF">2024-01-09T13:49:00Z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2023-04-19T13:45:44Z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3f5bda71-8308-44c2-a878-e18ab4408366</vt:lpwstr>
  </property>
  <property fmtid="{D5CDD505-2E9C-101B-9397-08002B2CF9AE}" pid="8" name="MSIP_Label_3c381991-eab8-4fff-8f2f-4f88109aa1cd_ContentBits">
    <vt:lpwstr>0</vt:lpwstr>
  </property>
  <property fmtid="{D5CDD505-2E9C-101B-9397-08002B2CF9AE}" pid="9" name="ContentTypeId">
    <vt:lpwstr>0x010100AB4565BB804CC848BD2EF3E87A42FE8B0E00754596489C88B849A8CE401493342924</vt:lpwstr>
  </property>
  <property fmtid="{D5CDD505-2E9C-101B-9397-08002B2CF9AE}" pid="10" name="Service1">
    <vt:lpwstr>2;#Enterprise and Communities|c4dcab27-3585-4606-92db-01a112d6829d</vt:lpwstr>
  </property>
  <property fmtid="{D5CDD505-2E9C-101B-9397-08002B2CF9AE}" pid="11" name="RevIMBCS">
    <vt:lpwstr>1;#BCS|819376d4-bc70-4d53-bae7-773a2688b0e5</vt:lpwstr>
  </property>
  <property fmtid="{D5CDD505-2E9C-101B-9397-08002B2CF9AE}" pid="12" name="_dlc_DocIdItemGuid">
    <vt:lpwstr>badafaab-7dfe-4e38-98a3-ac135b57afad</vt:lpwstr>
  </property>
  <property fmtid="{D5CDD505-2E9C-101B-9397-08002B2CF9AE}" pid="13" name="TaxKeyword">
    <vt:lpwstr/>
  </property>
  <property fmtid="{D5CDD505-2E9C-101B-9397-08002B2CF9AE}" pid="14" name="BusinessUnit">
    <vt:lpwstr/>
  </property>
  <property fmtid="{D5CDD505-2E9C-101B-9397-08002B2CF9AE}" pid="15" name="MediaServiceImageTags">
    <vt:lpwstr/>
  </property>
</Properties>
</file>